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C6650" w14:textId="77777777" w:rsidR="00CB44DC" w:rsidRDefault="00CB44DC">
      <w:pPr>
        <w:jc w:val="center"/>
        <w:rPr>
          <w:b/>
          <w:sz w:val="32"/>
        </w:rPr>
      </w:pPr>
    </w:p>
    <w:p w14:paraId="0E65F9D1" w14:textId="42FB76F5" w:rsidR="000A0880" w:rsidRDefault="00F67977">
      <w:pPr>
        <w:jc w:val="center"/>
        <w:rPr>
          <w:b/>
          <w:sz w:val="32"/>
        </w:rPr>
      </w:pPr>
      <w:r>
        <w:rPr>
          <w:noProof/>
        </w:rPr>
        <w:drawing>
          <wp:inline distT="0" distB="0" distL="0" distR="0" wp14:anchorId="440F657A" wp14:editId="1DB4D64F">
            <wp:extent cx="2322014" cy="2203450"/>
            <wp:effectExtent l="0" t="0" r="2540" b="6350"/>
            <wp:docPr id="2" name="Picture 1">
              <a:extLst xmlns:a="http://schemas.openxmlformats.org/drawingml/2006/main">
                <a:ext uri="{FF2B5EF4-FFF2-40B4-BE49-F238E27FC236}">
                  <a16:creationId xmlns:a16="http://schemas.microsoft.com/office/drawing/2014/main" id="{E64F1FE2-E788-4F60-869A-A4210D6273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64F1FE2-E788-4F60-869A-A4210D627372}"/>
                        </a:ext>
                      </a:extLst>
                    </pic:cNvPr>
                    <pic:cNvPicPr>
                      <a:picLocks noChangeAspect="1"/>
                    </pic:cNvPicPr>
                  </pic:nvPicPr>
                  <pic:blipFill rotWithShape="1">
                    <a:blip r:embed="rId8"/>
                    <a:srcRect l="28102" t="16275" r="25851" b="15749"/>
                    <a:stretch/>
                  </pic:blipFill>
                  <pic:spPr bwMode="auto">
                    <a:xfrm>
                      <a:off x="0" y="0"/>
                      <a:ext cx="2366397" cy="2245566"/>
                    </a:xfrm>
                    <a:prstGeom prst="rect">
                      <a:avLst/>
                    </a:prstGeom>
                    <a:ln>
                      <a:noFill/>
                    </a:ln>
                    <a:extLst>
                      <a:ext uri="{53640926-AAD7-44D8-BBD7-CCE9431645EC}">
                        <a14:shadowObscured xmlns:a14="http://schemas.microsoft.com/office/drawing/2010/main"/>
                      </a:ext>
                    </a:extLst>
                  </pic:spPr>
                </pic:pic>
              </a:graphicData>
            </a:graphic>
          </wp:inline>
        </w:drawing>
      </w:r>
    </w:p>
    <w:p w14:paraId="076DF087" w14:textId="77777777" w:rsidR="000A0880" w:rsidRDefault="000A0880" w:rsidP="000A0880">
      <w:pPr>
        <w:rPr>
          <w:b/>
          <w:sz w:val="32"/>
        </w:rPr>
      </w:pPr>
    </w:p>
    <w:p w14:paraId="67FB30D9" w14:textId="77777777" w:rsidR="000A0880" w:rsidRDefault="000A0880">
      <w:pPr>
        <w:jc w:val="center"/>
        <w:rPr>
          <w:b/>
          <w:sz w:val="32"/>
        </w:rPr>
      </w:pPr>
    </w:p>
    <w:p w14:paraId="1BDDFBFC" w14:textId="77777777" w:rsidR="00F67977" w:rsidRDefault="00F67977" w:rsidP="00F67977">
      <w:pPr>
        <w:jc w:val="both"/>
        <w:rPr>
          <w:rStyle w:val="Strong"/>
          <w:sz w:val="32"/>
          <w:szCs w:val="32"/>
        </w:rPr>
      </w:pPr>
      <w:r w:rsidRPr="00782456">
        <w:rPr>
          <w:rStyle w:val="Strong"/>
          <w:sz w:val="32"/>
          <w:szCs w:val="32"/>
        </w:rPr>
        <w:t xml:space="preserve">SUBMISSION TO THE FIJI COMPETITION AND CONSUMER COMMISSION (FCCC) ON THE ENERGY FIJI LIMITED (EFL) ELECTRICITY TARIFF DETERMINATION </w:t>
      </w:r>
    </w:p>
    <w:p w14:paraId="2E18B589" w14:textId="77777777" w:rsidR="00F67977" w:rsidRDefault="00F67977" w:rsidP="00F67977">
      <w:pPr>
        <w:jc w:val="center"/>
        <w:rPr>
          <w:rStyle w:val="Strong"/>
          <w:sz w:val="32"/>
          <w:szCs w:val="32"/>
        </w:rPr>
      </w:pPr>
    </w:p>
    <w:p w14:paraId="04F90B16" w14:textId="24CD492B" w:rsidR="00F67977" w:rsidRPr="00653EAF" w:rsidRDefault="00F67977" w:rsidP="00F67977">
      <w:pPr>
        <w:jc w:val="center"/>
        <w:rPr>
          <w:rStyle w:val="Strong"/>
          <w:color w:val="EE0000"/>
          <w:sz w:val="32"/>
          <w:szCs w:val="32"/>
        </w:rPr>
      </w:pPr>
      <w:r>
        <w:rPr>
          <w:rStyle w:val="Strong"/>
          <w:color w:val="EE0000"/>
          <w:sz w:val="32"/>
          <w:szCs w:val="32"/>
        </w:rPr>
        <w:t xml:space="preserve">Full Submission </w:t>
      </w:r>
    </w:p>
    <w:p w14:paraId="612AF4F3" w14:textId="77777777" w:rsidR="00F67977" w:rsidRDefault="00F67977" w:rsidP="00F67977">
      <w:pPr>
        <w:jc w:val="center"/>
        <w:rPr>
          <w:rStyle w:val="Strong"/>
          <w:sz w:val="32"/>
          <w:szCs w:val="32"/>
        </w:rPr>
      </w:pPr>
    </w:p>
    <w:p w14:paraId="3653B333" w14:textId="77777777" w:rsidR="00F67977" w:rsidRDefault="00F67977" w:rsidP="00F67977">
      <w:pPr>
        <w:jc w:val="center"/>
        <w:rPr>
          <w:rStyle w:val="Strong"/>
          <w:sz w:val="32"/>
          <w:szCs w:val="32"/>
        </w:rPr>
      </w:pPr>
    </w:p>
    <w:p w14:paraId="7ADD474D" w14:textId="77777777" w:rsidR="00F67977" w:rsidRDefault="00F67977" w:rsidP="00F67977">
      <w:pPr>
        <w:jc w:val="center"/>
        <w:rPr>
          <w:rStyle w:val="Strong"/>
          <w:sz w:val="32"/>
          <w:szCs w:val="32"/>
        </w:rPr>
      </w:pPr>
    </w:p>
    <w:p w14:paraId="480403B1" w14:textId="77777777" w:rsidR="00F67977" w:rsidRPr="00782456" w:rsidRDefault="00F67977" w:rsidP="00F67977">
      <w:pPr>
        <w:jc w:val="center"/>
        <w:rPr>
          <w:rStyle w:val="Strong"/>
          <w:sz w:val="32"/>
          <w:szCs w:val="32"/>
        </w:rPr>
      </w:pPr>
      <w:r>
        <w:rPr>
          <w:rStyle w:val="Strong"/>
          <w:sz w:val="32"/>
          <w:szCs w:val="32"/>
        </w:rPr>
        <w:t>13 January 2026</w:t>
      </w:r>
    </w:p>
    <w:p w14:paraId="516B46C7" w14:textId="77777777" w:rsidR="00686543" w:rsidRDefault="00686543">
      <w:pPr>
        <w:jc w:val="center"/>
        <w:rPr>
          <w:b/>
          <w:sz w:val="32"/>
        </w:rPr>
      </w:pPr>
    </w:p>
    <w:p w14:paraId="1B871677" w14:textId="77777777" w:rsidR="00686543" w:rsidRDefault="00686543">
      <w:pPr>
        <w:jc w:val="center"/>
        <w:rPr>
          <w:b/>
          <w:sz w:val="32"/>
        </w:rPr>
      </w:pPr>
    </w:p>
    <w:p w14:paraId="2875825D" w14:textId="77777777" w:rsidR="00686543" w:rsidRDefault="00686543">
      <w:pPr>
        <w:jc w:val="center"/>
        <w:rPr>
          <w:b/>
          <w:sz w:val="32"/>
        </w:rPr>
      </w:pPr>
    </w:p>
    <w:p w14:paraId="0CD1D7F5" w14:textId="77777777" w:rsidR="00686543" w:rsidRDefault="00686543">
      <w:pPr>
        <w:rPr>
          <w:sz w:val="24"/>
        </w:rPr>
      </w:pPr>
    </w:p>
    <w:p w14:paraId="4A9ED862" w14:textId="77777777" w:rsidR="00AA2148" w:rsidRPr="00625FD7" w:rsidRDefault="00B771E4">
      <w:pPr>
        <w:pStyle w:val="Heading1"/>
        <w:rPr>
          <w:sz w:val="32"/>
        </w:rPr>
      </w:pPr>
      <w:r w:rsidRPr="00625FD7">
        <w:rPr>
          <w:color w:val="000000"/>
          <w:sz w:val="32"/>
        </w:rPr>
        <w:lastRenderedPageBreak/>
        <w:t>EXECUTIVE SUMMARY</w:t>
      </w:r>
    </w:p>
    <w:p w14:paraId="4ADFF60D" w14:textId="77777777" w:rsidR="005C4B3F" w:rsidRPr="00625FD7" w:rsidRDefault="005C4B3F" w:rsidP="005C4B3F">
      <w:pPr>
        <w:jc w:val="both"/>
        <w:rPr>
          <w:sz w:val="23"/>
          <w:szCs w:val="23"/>
        </w:rPr>
      </w:pPr>
      <w:r w:rsidRPr="00625FD7">
        <w:rPr>
          <w:sz w:val="23"/>
          <w:szCs w:val="23"/>
        </w:rPr>
        <w:t>The Fiji Commerce &amp; Employers Federation (FCEF) submits this formal objection to the Fiji Competition and Consumer Commission's (FCCC) determination of 19 December 2025 approving Energy Fiji Limited's (EFL) electricity tariff application. This submission demonstrates that the determination cannot stand on procedural, substantive, and economic grounds. The evidence reveals an irreconcilable contradiction: EFL claims a funding crisis requiring a massive tariff hike, yet it simultaneously stripped $40.7 million in cash out of the company to pay dividends during a loss-making year. Furthermore, EFL holds $52.136 million in cash customer deposits and possesses $257.1 million in untapped banking headroom. To extract further capital from captive consumers before exhausting these internal resources is a failure of regulatory oversight.</w:t>
      </w:r>
    </w:p>
    <w:tbl>
      <w:tblPr>
        <w:tblW w:w="0" w:type="auto"/>
        <w:tblInd w:w="250" w:type="dxa"/>
        <w:tblLook w:val="04A0" w:firstRow="1" w:lastRow="0" w:firstColumn="1" w:lastColumn="0" w:noHBand="0" w:noVBand="1"/>
      </w:tblPr>
      <w:tblGrid>
        <w:gridCol w:w="8680"/>
      </w:tblGrid>
      <w:tr w:rsidR="00AA2148" w14:paraId="3441E4F4" w14:textId="77777777" w:rsidTr="00044479">
        <w:trPr>
          <w:trHeight w:val="1173"/>
        </w:trPr>
        <w:tc>
          <w:tcPr>
            <w:tcW w:w="8789" w:type="dxa"/>
            <w:shd w:val="clear" w:color="auto" w:fill="FFF3CD"/>
          </w:tcPr>
          <w:p w14:paraId="0CEF3162" w14:textId="77777777" w:rsidR="005C4B3F" w:rsidRPr="005C4B3F" w:rsidRDefault="005C4B3F">
            <w:pPr>
              <w:rPr>
                <w:b/>
                <w:sz w:val="4"/>
              </w:rPr>
            </w:pPr>
          </w:p>
          <w:p w14:paraId="4F463C37" w14:textId="77777777" w:rsidR="00577C6E" w:rsidRPr="007B08CE" w:rsidRDefault="00B771E4" w:rsidP="00044479">
            <w:pPr>
              <w:pStyle w:val="ListParagraph"/>
              <w:numPr>
                <w:ilvl w:val="0"/>
                <w:numId w:val="14"/>
              </w:numPr>
              <w:ind w:left="459"/>
              <w:jc w:val="both"/>
              <w:rPr>
                <w:b/>
                <w:sz w:val="21"/>
                <w:szCs w:val="21"/>
              </w:rPr>
            </w:pPr>
            <w:r w:rsidRPr="007B08CE">
              <w:rPr>
                <w:b/>
                <w:sz w:val="21"/>
                <w:szCs w:val="21"/>
              </w:rPr>
              <w:t>FCEF's position is unequivocal: the Commission must either set aside the determination and conduct a proper regulatory process from the beginning, or decline EFL's application in its entirety. No conditional approval or modified implementation is acceptable.</w:t>
            </w:r>
          </w:p>
          <w:p w14:paraId="5480EBFC" w14:textId="77777777" w:rsidR="00577C6E" w:rsidRPr="007B08CE" w:rsidRDefault="00577C6E" w:rsidP="00577C6E">
            <w:pPr>
              <w:pStyle w:val="ListParagraph"/>
              <w:jc w:val="both"/>
              <w:rPr>
                <w:b/>
                <w:sz w:val="21"/>
                <w:szCs w:val="21"/>
              </w:rPr>
            </w:pPr>
          </w:p>
          <w:p w14:paraId="70EA12DD" w14:textId="77777777" w:rsidR="00577C6E" w:rsidRPr="007B08CE" w:rsidRDefault="00577C6E" w:rsidP="00044479">
            <w:pPr>
              <w:pStyle w:val="ListParagraph"/>
              <w:numPr>
                <w:ilvl w:val="0"/>
                <w:numId w:val="14"/>
              </w:numPr>
              <w:spacing w:after="0"/>
              <w:ind w:left="459"/>
              <w:jc w:val="both"/>
              <w:rPr>
                <w:rFonts w:eastAsia="Times New Roman" w:cs="Arial"/>
                <w:b/>
                <w:sz w:val="21"/>
                <w:szCs w:val="21"/>
              </w:rPr>
            </w:pPr>
            <w:r w:rsidRPr="007B08CE">
              <w:rPr>
                <w:rFonts w:eastAsia="Times New Roman" w:cs="Arial"/>
                <w:b/>
                <w:sz w:val="21"/>
                <w:szCs w:val="21"/>
              </w:rPr>
              <w:t>Although the Commission suspended implementation of the 19 December 2025 determination on 29–30 December 2025 and opened a 21-day consultation in response to public and stakeholder backlash, this retrospective and compressed process - conducted over the Christmas/New Year holiday period without prior disclosure of EFL's complete application - cannot remedy the fundamental defects of predetermination, apparent bias, or evidentiary gaps arising from announcing approval before any stakeholder input. Genuine consultation for a determination of this magnitude requires meaningful opportunity for influence from the outset, not post-hoc validation of a decision already reached.</w:t>
            </w:r>
          </w:p>
          <w:p w14:paraId="5EE28CD6" w14:textId="77777777" w:rsidR="00577C6E" w:rsidRPr="00577C6E" w:rsidRDefault="00577C6E" w:rsidP="00577C6E">
            <w:pPr>
              <w:spacing w:after="0"/>
              <w:rPr>
                <w:rFonts w:eastAsia="Times New Roman" w:cs="Arial"/>
                <w:b/>
                <w:sz w:val="10"/>
              </w:rPr>
            </w:pPr>
          </w:p>
        </w:tc>
      </w:tr>
    </w:tbl>
    <w:p w14:paraId="5EF93E1A" w14:textId="77777777" w:rsidR="00AA2148" w:rsidRDefault="00AA2148"/>
    <w:p w14:paraId="1AD06701" w14:textId="77777777" w:rsidR="00AA2148" w:rsidRPr="00625FD7" w:rsidRDefault="00B771E4" w:rsidP="000A3860">
      <w:pPr>
        <w:jc w:val="both"/>
        <w:rPr>
          <w:sz w:val="23"/>
          <w:szCs w:val="23"/>
        </w:rPr>
      </w:pPr>
      <w:r w:rsidRPr="00625FD7">
        <w:rPr>
          <w:sz w:val="23"/>
          <w:szCs w:val="23"/>
        </w:rPr>
        <w:t xml:space="preserve">FCEF speaks for Fiji's private sector. FCEF member businesses employ over 150,000 Fijians across all economic sectors, generate annual output exceeding FJD 8-10 billion, and comprise the productive foundation of Fiji's economy. Every member business depends on electricity for operations. Every member business will be directly affected by the proposed 34.7% commercial tariff increase representing </w:t>
      </w:r>
      <w:proofErr w:type="gramStart"/>
      <w:r w:rsidRPr="00625FD7">
        <w:rPr>
          <w:sz w:val="23"/>
          <w:szCs w:val="23"/>
        </w:rPr>
        <w:t>a</w:t>
      </w:r>
      <w:proofErr w:type="gramEnd"/>
      <w:r w:rsidRPr="00625FD7">
        <w:rPr>
          <w:sz w:val="23"/>
          <w:szCs w:val="23"/>
        </w:rPr>
        <w:t xml:space="preserve"> FJD 2.21 billion revenue requirement over four years. Every member business has a legitimate interest in ensuring that regulatory decisions affecting electricity pricing are made properly, transparently, and in accordance with the statutory framework that Parliament established for precisely this purpose.</w:t>
      </w:r>
    </w:p>
    <w:p w14:paraId="480C58FF" w14:textId="77777777" w:rsidR="00AA2148" w:rsidRPr="00625FD7" w:rsidRDefault="00B771E4" w:rsidP="000A3860">
      <w:pPr>
        <w:jc w:val="both"/>
        <w:rPr>
          <w:sz w:val="23"/>
          <w:szCs w:val="23"/>
        </w:rPr>
      </w:pPr>
      <w:r w:rsidRPr="00625FD7">
        <w:rPr>
          <w:sz w:val="23"/>
          <w:szCs w:val="23"/>
        </w:rPr>
        <w:t>FCEF's objection is not motivated by opposition to reasonable and necessary investment in Fiji's electricity infrastructure. FCEF recognizes that investment is needed to maintain system reliability, transition to cleaner energy sources, and meet growing demand. FCEF's objection is to the process by which this determination was made and to the failure to demonstrate that the proposed approach represents the best outcome for consumers.</w:t>
      </w:r>
    </w:p>
    <w:p w14:paraId="1CBEFAFE" w14:textId="77777777" w:rsidR="00AA2148" w:rsidRPr="00625FD7" w:rsidRDefault="00B771E4">
      <w:pPr>
        <w:pStyle w:val="Heading2"/>
        <w:rPr>
          <w:sz w:val="28"/>
        </w:rPr>
      </w:pPr>
      <w:r w:rsidRPr="00625FD7">
        <w:rPr>
          <w:color w:val="000000"/>
          <w:sz w:val="28"/>
        </w:rPr>
        <w:lastRenderedPageBreak/>
        <w:t>Understanding of the Matter</w:t>
      </w:r>
    </w:p>
    <w:p w14:paraId="65AF9945" w14:textId="77777777" w:rsidR="00AA2148" w:rsidRPr="00625FD7" w:rsidRDefault="00B771E4" w:rsidP="000A3860">
      <w:pPr>
        <w:jc w:val="both"/>
        <w:rPr>
          <w:sz w:val="23"/>
          <w:szCs w:val="23"/>
        </w:rPr>
      </w:pPr>
      <w:r w:rsidRPr="00625FD7">
        <w:rPr>
          <w:sz w:val="23"/>
          <w:szCs w:val="23"/>
        </w:rPr>
        <w:t>Based on publicly available documents and FCCC's own statements, FCEF understands the following facts to be established:</w:t>
      </w:r>
    </w:p>
    <w:p w14:paraId="1C97D259" w14:textId="77777777" w:rsidR="00AA2148" w:rsidRPr="00625FD7" w:rsidRDefault="00B771E4" w:rsidP="00F04102">
      <w:pPr>
        <w:ind w:left="720" w:hanging="384"/>
        <w:jc w:val="both"/>
        <w:rPr>
          <w:sz w:val="23"/>
          <w:szCs w:val="23"/>
        </w:rPr>
      </w:pPr>
      <w:r w:rsidRPr="00625FD7">
        <w:rPr>
          <w:b/>
          <w:sz w:val="23"/>
          <w:szCs w:val="23"/>
        </w:rPr>
        <w:t xml:space="preserve">(a) </w:t>
      </w:r>
      <w:r w:rsidRPr="00625FD7">
        <w:rPr>
          <w:sz w:val="23"/>
          <w:szCs w:val="23"/>
        </w:rPr>
        <w:t>On 19 December 2025, the Fiji Competition and Consumer Commission (FCCC) announced electricity tariff increases for residential customers using from 101 to above 300 kWh by an average of 4.5% and commercial customers will see an average increase of approximately 34.7% across four usage tiers. FCCC has stated that Small Medium Enterprises using 1000 kWh and below will see minimal impact, with bills increasing by only $0.0256/kWh. A total of 15,609 commercial customers fall within the first Tier of the Commercial tariff.</w:t>
      </w:r>
    </w:p>
    <w:p w14:paraId="076D517D" w14:textId="77777777" w:rsidR="00AA2148" w:rsidRPr="00625FD7" w:rsidRDefault="00F04102" w:rsidP="00F04102">
      <w:pPr>
        <w:ind w:left="714" w:hanging="392"/>
        <w:jc w:val="both"/>
        <w:rPr>
          <w:sz w:val="23"/>
          <w:szCs w:val="23"/>
        </w:rPr>
      </w:pPr>
      <w:r w:rsidRPr="00625FD7">
        <w:rPr>
          <w:b/>
          <w:sz w:val="23"/>
          <w:szCs w:val="23"/>
        </w:rPr>
        <w:t xml:space="preserve">(b) </w:t>
      </w:r>
      <w:r w:rsidR="00B771E4" w:rsidRPr="00625FD7">
        <w:rPr>
          <w:sz w:val="23"/>
          <w:szCs w:val="23"/>
        </w:rPr>
        <w:t>In August 2023, EFL's initial proposal was declined by FCCC in February of 2024. Approximately 1,700 submissions were made by the public. In April 2025, EFL submitted a revised proposal. FCCC deemed it not necessary to undertake another round of public consultations as they were considering a revised proposal.</w:t>
      </w:r>
    </w:p>
    <w:p w14:paraId="07DBE1E2" w14:textId="77777777" w:rsidR="00AA2148" w:rsidRPr="00625FD7" w:rsidRDefault="00F04102" w:rsidP="00F04102">
      <w:pPr>
        <w:tabs>
          <w:tab w:val="left" w:pos="709"/>
        </w:tabs>
        <w:ind w:left="706" w:hanging="384"/>
        <w:jc w:val="both"/>
        <w:rPr>
          <w:sz w:val="23"/>
          <w:szCs w:val="23"/>
        </w:rPr>
      </w:pPr>
      <w:r w:rsidRPr="00625FD7">
        <w:rPr>
          <w:b/>
          <w:sz w:val="23"/>
          <w:szCs w:val="23"/>
        </w:rPr>
        <w:t>(c)</w:t>
      </w:r>
      <w:r w:rsidRPr="00625FD7">
        <w:rPr>
          <w:b/>
          <w:sz w:val="23"/>
          <w:szCs w:val="23"/>
        </w:rPr>
        <w:tab/>
      </w:r>
      <w:r w:rsidR="00B771E4" w:rsidRPr="00625FD7">
        <w:rPr>
          <w:sz w:val="23"/>
          <w:szCs w:val="23"/>
        </w:rPr>
        <w:t>The revised tariffs will support $1.57 billion in investments (24.2% increased revenue) over the next four years, expanding renewable energy generation, strengthening transmission infrastructure, and upgrading the electricity network nationwide. In 2019, a</w:t>
      </w:r>
      <w:r w:rsidR="00BA644F" w:rsidRPr="00625FD7">
        <w:rPr>
          <w:sz w:val="23"/>
          <w:szCs w:val="23"/>
        </w:rPr>
        <w:t>n approximately</w:t>
      </w:r>
      <w:r w:rsidR="00B771E4" w:rsidRPr="00625FD7">
        <w:rPr>
          <w:sz w:val="23"/>
          <w:szCs w:val="23"/>
        </w:rPr>
        <w:t xml:space="preserve"> 2% increase in electricity tariffs was awarded to EFL by FCCC for the same purpose. EFL was not able to meet its targets.</w:t>
      </w:r>
    </w:p>
    <w:p w14:paraId="19755ACB" w14:textId="77777777" w:rsidR="00AA2148" w:rsidRPr="00625FD7" w:rsidRDefault="00B771E4" w:rsidP="000A3860">
      <w:pPr>
        <w:pStyle w:val="Heading2"/>
        <w:jc w:val="both"/>
        <w:rPr>
          <w:sz w:val="28"/>
        </w:rPr>
      </w:pPr>
      <w:r w:rsidRPr="00625FD7">
        <w:rPr>
          <w:color w:val="000000"/>
          <w:sz w:val="28"/>
        </w:rPr>
        <w:t>Summary of Fatal Deficiencies</w:t>
      </w:r>
    </w:p>
    <w:p w14:paraId="4628E05B" w14:textId="02DD6E5C" w:rsidR="00AA2148" w:rsidRPr="00625FD7" w:rsidRDefault="00B771E4" w:rsidP="000A3860">
      <w:pPr>
        <w:jc w:val="both"/>
        <w:rPr>
          <w:sz w:val="23"/>
          <w:szCs w:val="23"/>
        </w:rPr>
      </w:pPr>
      <w:r w:rsidRPr="00625FD7">
        <w:rPr>
          <w:sz w:val="23"/>
          <w:szCs w:val="23"/>
        </w:rPr>
        <w:t xml:space="preserve">This submission identifies </w:t>
      </w:r>
      <w:r w:rsidR="00F67977">
        <w:rPr>
          <w:b/>
          <w:sz w:val="23"/>
          <w:szCs w:val="23"/>
        </w:rPr>
        <w:t>seven</w:t>
      </w:r>
      <w:r w:rsidRPr="00625FD7">
        <w:rPr>
          <w:b/>
          <w:sz w:val="23"/>
          <w:szCs w:val="23"/>
        </w:rPr>
        <w:t xml:space="preserve"> categories</w:t>
      </w:r>
      <w:r w:rsidRPr="00625FD7">
        <w:rPr>
          <w:sz w:val="23"/>
          <w:szCs w:val="23"/>
        </w:rPr>
        <w:t xml:space="preserve"> of fatal deficiency in the Commission's determination. Each category standing alone would warrant setting aside the determination. Together, they present an overwhelming case that the determination cannot stand.</w:t>
      </w:r>
    </w:p>
    <w:p w14:paraId="2933EF42" w14:textId="77777777" w:rsidR="00AA2148" w:rsidRPr="00625FD7" w:rsidRDefault="00B771E4" w:rsidP="000A3860">
      <w:pPr>
        <w:spacing w:after="0"/>
        <w:jc w:val="both"/>
        <w:rPr>
          <w:sz w:val="23"/>
          <w:szCs w:val="23"/>
        </w:rPr>
      </w:pPr>
      <w:r w:rsidRPr="00625FD7">
        <w:rPr>
          <w:b/>
          <w:sz w:val="23"/>
          <w:szCs w:val="23"/>
        </w:rPr>
        <w:t xml:space="preserve">First, the determination is procedurally invalid. </w:t>
      </w:r>
      <w:r w:rsidRPr="00625FD7">
        <w:rPr>
          <w:sz w:val="23"/>
          <w:szCs w:val="23"/>
        </w:rPr>
        <w:t>The Commission announced approval on 19 December 2025 without prior stakeholder consultation, opened a 21-day consultation period only after public backlash forced suspension on 29-30 December 2025, and has not provided stakeholders with access to EFL's complete application. A process that announces a major revenue-increasing determination before stakeholders can examine the evidence cannot be reconciled with the Commission's statutory duty to protect consumer interests. The failures also depart from World Bank GERI and PPIAF tariff-setting guidelines that require consultation before, not after, final determinations.</w:t>
      </w:r>
    </w:p>
    <w:p w14:paraId="486E758B" w14:textId="77777777" w:rsidR="000A3860" w:rsidRPr="00625FD7" w:rsidRDefault="000A3860" w:rsidP="000A3860">
      <w:pPr>
        <w:spacing w:after="0"/>
        <w:jc w:val="both"/>
        <w:rPr>
          <w:sz w:val="23"/>
          <w:szCs w:val="23"/>
        </w:rPr>
      </w:pPr>
    </w:p>
    <w:p w14:paraId="50A022AC" w14:textId="77777777" w:rsidR="00AA2148" w:rsidRPr="00625FD7" w:rsidRDefault="00B771E4" w:rsidP="000A3860">
      <w:pPr>
        <w:jc w:val="both"/>
        <w:rPr>
          <w:sz w:val="23"/>
          <w:szCs w:val="23"/>
        </w:rPr>
      </w:pPr>
      <w:r w:rsidRPr="00625FD7">
        <w:rPr>
          <w:b/>
          <w:sz w:val="23"/>
          <w:szCs w:val="23"/>
        </w:rPr>
        <w:t xml:space="preserve">Second, the determination accepts EFL's narrative of crisis without independent verification </w:t>
      </w:r>
      <w:r w:rsidRPr="00625FD7">
        <w:rPr>
          <w:sz w:val="23"/>
          <w:szCs w:val="23"/>
        </w:rPr>
        <w:t xml:space="preserve">or requiring that corporate financing obligations be exhausted </w:t>
      </w:r>
      <w:r w:rsidR="00BC1D12" w:rsidRPr="00625FD7">
        <w:rPr>
          <w:sz w:val="23"/>
          <w:szCs w:val="23"/>
        </w:rPr>
        <w:t xml:space="preserve">before consumer extraction. EFL - </w:t>
      </w:r>
      <w:r w:rsidRPr="00625FD7">
        <w:rPr>
          <w:sz w:val="23"/>
          <w:szCs w:val="23"/>
        </w:rPr>
        <w:t>now a corporatized for-profit company since 2017 with 44% strategic foreign ownership acquired in 2018 fo</w:t>
      </w:r>
      <w:r w:rsidR="00BC1D12" w:rsidRPr="00625FD7">
        <w:rPr>
          <w:sz w:val="23"/>
          <w:szCs w:val="23"/>
        </w:rPr>
        <w:t xml:space="preserve">r approximately FJD 1.2 billion, </w:t>
      </w:r>
      <w:r w:rsidRPr="00625FD7">
        <w:rPr>
          <w:sz w:val="23"/>
          <w:szCs w:val="23"/>
        </w:rPr>
        <w:t xml:space="preserve">has </w:t>
      </w:r>
      <w:r w:rsidRPr="00625FD7">
        <w:rPr>
          <w:sz w:val="23"/>
          <w:szCs w:val="23"/>
        </w:rPr>
        <w:lastRenderedPageBreak/>
        <w:t>presented a narrative of imminent grid failure requiring FJD 2.21 billion in consumer-funded investment. Yet the determination exhibits fundamental failures in regulatory scrutiny:</w:t>
      </w:r>
    </w:p>
    <w:p w14:paraId="2A5EFDC6" w14:textId="77777777" w:rsidR="00AA2148" w:rsidRPr="00625FD7" w:rsidRDefault="00B771E4" w:rsidP="004C07F5">
      <w:pPr>
        <w:pStyle w:val="ListBullet"/>
        <w:tabs>
          <w:tab w:val="clear" w:pos="360"/>
        </w:tabs>
        <w:ind w:left="709" w:hanging="283"/>
        <w:jc w:val="both"/>
        <w:rPr>
          <w:sz w:val="23"/>
          <w:szCs w:val="23"/>
        </w:rPr>
      </w:pPr>
      <w:r w:rsidRPr="00625FD7">
        <w:rPr>
          <w:sz w:val="23"/>
          <w:szCs w:val="23"/>
        </w:rPr>
        <w:t>No disclosure of application changes: FCCC has not disclosed what changes, if any, it made to EFL's application. Stakeholders do not know whether the approved revenue requirement reflects EFL's request in full or whether the Commission exercised any independent judgment.</w:t>
      </w:r>
    </w:p>
    <w:p w14:paraId="193A4DE1" w14:textId="77777777" w:rsidR="00FF6AA8" w:rsidRPr="00625FD7" w:rsidRDefault="00FF6AA8" w:rsidP="004C07F5">
      <w:pPr>
        <w:pStyle w:val="ListBullet"/>
        <w:tabs>
          <w:tab w:val="clear" w:pos="360"/>
          <w:tab w:val="num" w:pos="700"/>
        </w:tabs>
        <w:ind w:left="709" w:hanging="283"/>
        <w:jc w:val="both"/>
        <w:rPr>
          <w:sz w:val="23"/>
          <w:szCs w:val="23"/>
        </w:rPr>
      </w:pPr>
      <w:r w:rsidRPr="00625FD7">
        <w:rPr>
          <w:sz w:val="23"/>
          <w:szCs w:val="23"/>
        </w:rPr>
        <w:t xml:space="preserve">Shareholder financing obligations not tested: EFL's shareholders include a major Japanese power consortium with extensive technical expertise and access to international capital markets. The Commission has not required EFL </w:t>
      </w:r>
      <w:r w:rsidR="00BC1D12" w:rsidRPr="00625FD7">
        <w:rPr>
          <w:sz w:val="23"/>
          <w:szCs w:val="23"/>
        </w:rPr>
        <w:t xml:space="preserve">to demonstrate why shareholders, </w:t>
      </w:r>
      <w:r w:rsidRPr="00625FD7">
        <w:rPr>
          <w:sz w:val="23"/>
          <w:szCs w:val="23"/>
        </w:rPr>
        <w:t>including sophisticated energy sector investors who acquired 44% ownership at significant premium</w:t>
      </w:r>
      <w:r w:rsidR="00BC1D12" w:rsidRPr="00625FD7">
        <w:rPr>
          <w:sz w:val="23"/>
          <w:szCs w:val="23"/>
        </w:rPr>
        <w:t xml:space="preserve"> - </w:t>
      </w:r>
      <w:r w:rsidRPr="00625FD7">
        <w:rPr>
          <w:sz w:val="23"/>
          <w:szCs w:val="23"/>
        </w:rPr>
        <w:t>cannot or should not provide capital and technical expertise before costs are extracted from captive consumers. In 2023, EFL recorded a financial loss after tax of $24.8 million yet declared and paid $40.7 million in dividends. EFL’s gearing ratio stands at 8-26% against an industry norm of 60-100%, providing approximately $257.1 million in untapped banking headroom. EFL also holds $52.136 million in cash customer deposits.</w:t>
      </w:r>
    </w:p>
    <w:p w14:paraId="6CCA6603" w14:textId="77777777" w:rsidR="00AF0AF5" w:rsidRPr="00625FD7" w:rsidRDefault="00AF0AF5" w:rsidP="004C07F5">
      <w:pPr>
        <w:pStyle w:val="ListBullet"/>
        <w:tabs>
          <w:tab w:val="clear" w:pos="360"/>
          <w:tab w:val="num" w:pos="686"/>
        </w:tabs>
        <w:ind w:left="709" w:hanging="283"/>
        <w:jc w:val="both"/>
        <w:rPr>
          <w:sz w:val="23"/>
          <w:szCs w:val="23"/>
        </w:rPr>
      </w:pPr>
      <w:r w:rsidRPr="00625FD7">
        <w:rPr>
          <w:sz w:val="23"/>
          <w:szCs w:val="23"/>
        </w:rPr>
        <w:t>Privatization proceeds unaccounted: The FJD 1.2 billion reportedly received from partial privatization in 2018 has not been reconciled against claimed capital needs. The current Minister for Finance has publicly stated that the transaction 'did not embed sufficient future safeguards' for Fiji's strategic electricity utility. Where these proce</w:t>
      </w:r>
      <w:r w:rsidR="00BC1D12" w:rsidRPr="00625FD7">
        <w:rPr>
          <w:sz w:val="23"/>
          <w:szCs w:val="23"/>
        </w:rPr>
        <w:t xml:space="preserve">eds were allocated </w:t>
      </w:r>
      <w:r w:rsidRPr="00625FD7">
        <w:rPr>
          <w:sz w:val="23"/>
          <w:szCs w:val="23"/>
        </w:rPr>
        <w:t>and why they do not materially reduce tar</w:t>
      </w:r>
      <w:r w:rsidR="00BC1D12" w:rsidRPr="00625FD7">
        <w:rPr>
          <w:sz w:val="23"/>
          <w:szCs w:val="23"/>
        </w:rPr>
        <w:t xml:space="preserve">iff-funded capital requirements, </w:t>
      </w:r>
      <w:r w:rsidRPr="00625FD7">
        <w:rPr>
          <w:sz w:val="23"/>
          <w:szCs w:val="23"/>
        </w:rPr>
        <w:t>remains unexplained. Stakeholders have a right to know if these proceeds were reinvested into infrastructure or diverted to the government’s consolidated fund.</w:t>
      </w:r>
    </w:p>
    <w:p w14:paraId="2BB8608D" w14:textId="77777777" w:rsidR="004C07F5" w:rsidRPr="00625FD7" w:rsidRDefault="00B771E4" w:rsidP="004C07F5">
      <w:pPr>
        <w:pStyle w:val="ListBullet"/>
        <w:tabs>
          <w:tab w:val="clear" w:pos="360"/>
          <w:tab w:val="num" w:pos="1046"/>
        </w:tabs>
        <w:ind w:left="720" w:hanging="294"/>
        <w:jc w:val="both"/>
        <w:rPr>
          <w:sz w:val="23"/>
          <w:szCs w:val="23"/>
        </w:rPr>
      </w:pPr>
      <w:r w:rsidRPr="00625FD7">
        <w:rPr>
          <w:sz w:val="23"/>
          <w:szCs w:val="23"/>
        </w:rPr>
        <w:t>Demand forecasts unverified: EFL claims 9% demand growth in 2024 and projects 5% annual growth requiring generation capacity to nearly double within 4-8 years. These projections have not been independently verified against Fiji's demographic and economic realities, including population stagnation and commercial sector uncertainty.</w:t>
      </w:r>
    </w:p>
    <w:p w14:paraId="5B5CC495" w14:textId="77777777" w:rsidR="00AA2148" w:rsidRPr="00625FD7" w:rsidRDefault="00B771E4" w:rsidP="004C07F5">
      <w:pPr>
        <w:pStyle w:val="ListBullet"/>
        <w:tabs>
          <w:tab w:val="clear" w:pos="360"/>
          <w:tab w:val="num" w:pos="1046"/>
        </w:tabs>
        <w:ind w:left="720" w:hanging="294"/>
        <w:jc w:val="both"/>
        <w:rPr>
          <w:sz w:val="23"/>
          <w:szCs w:val="23"/>
        </w:rPr>
      </w:pPr>
      <w:r w:rsidRPr="00625FD7">
        <w:rPr>
          <w:sz w:val="23"/>
          <w:szCs w:val="23"/>
        </w:rPr>
        <w:t>Corporate obligations inverted: As a corporatized private company operating a regulated monopoly, EFL must be held to corporate financing standards: borrowing capacity, shareholder equity contributions, and retained earnings should be exhausted before extracting capital from consumers who have no alternative supplier. The determination inverts this principle by treating consumer tariffs as first resort rather than last resort financing.</w:t>
      </w:r>
    </w:p>
    <w:p w14:paraId="10EE6D49" w14:textId="77777777" w:rsidR="00AA2148" w:rsidRPr="00625FD7" w:rsidRDefault="00B771E4" w:rsidP="000A3860">
      <w:pPr>
        <w:jc w:val="both"/>
        <w:rPr>
          <w:sz w:val="23"/>
          <w:szCs w:val="23"/>
        </w:rPr>
      </w:pPr>
      <w:r w:rsidRPr="00625FD7">
        <w:rPr>
          <w:sz w:val="23"/>
          <w:szCs w:val="23"/>
        </w:rPr>
        <w:t>The regulatory framework exists precisely because monopoly utilities can exploit captive customers. A determination that does not rigorously test whether the monopoly has exhausted alternatives before consumer extraction fails the fundamental purpose of utility regulation.</w:t>
      </w:r>
    </w:p>
    <w:p w14:paraId="25E3453D" w14:textId="77777777" w:rsidR="00F04160" w:rsidRPr="00625FD7" w:rsidRDefault="00F04160" w:rsidP="000A3860">
      <w:pPr>
        <w:jc w:val="both"/>
        <w:rPr>
          <w:sz w:val="23"/>
          <w:szCs w:val="23"/>
        </w:rPr>
      </w:pPr>
      <w:r w:rsidRPr="00625FD7">
        <w:rPr>
          <w:b/>
          <w:sz w:val="23"/>
          <w:szCs w:val="23"/>
        </w:rPr>
        <w:lastRenderedPageBreak/>
        <w:t xml:space="preserve">Third, the determination fails to satisfy statutory </w:t>
      </w:r>
      <w:r w:rsidRPr="00625FD7">
        <w:rPr>
          <w:sz w:val="23"/>
          <w:szCs w:val="23"/>
        </w:rPr>
        <w:t xml:space="preserve">pricing requirements under the Electricity Act 2017. The Act requires that electricity charges reflect only efficient costs and that capital expenditures be demonstrated as prudent and necessary. Schedule 1, Paragraph 8 of the Electricity Act 2017 allows the Regulator to modify costs if the supplier is not providing services as a "reasonable and prudent operator". A determination that has not tested whether proposed costs are efficient or whether </w:t>
      </w:r>
      <w:r w:rsidR="00BC1D12" w:rsidRPr="00625FD7">
        <w:rPr>
          <w:sz w:val="23"/>
          <w:szCs w:val="23"/>
        </w:rPr>
        <w:t xml:space="preserve">existing </w:t>
      </w:r>
      <w:r w:rsidRPr="00625FD7">
        <w:rPr>
          <w:sz w:val="23"/>
          <w:szCs w:val="23"/>
        </w:rPr>
        <w:t>lower-cost alternatives cannot satisfy these requirements. The Commission has not required EFL to demonstrate that shareholder resources have been exhausted before consumer extraction.</w:t>
      </w:r>
    </w:p>
    <w:p w14:paraId="1AE40616" w14:textId="77777777" w:rsidR="00AA2148" w:rsidRPr="00625FD7" w:rsidRDefault="00B771E4" w:rsidP="000A3860">
      <w:pPr>
        <w:jc w:val="both"/>
        <w:rPr>
          <w:sz w:val="23"/>
          <w:szCs w:val="23"/>
        </w:rPr>
      </w:pPr>
      <w:r w:rsidRPr="00625FD7">
        <w:rPr>
          <w:b/>
          <w:sz w:val="23"/>
          <w:szCs w:val="23"/>
        </w:rPr>
        <w:t xml:space="preserve">Fourth, the determination would impose an unsustainable burden </w:t>
      </w:r>
      <w:r w:rsidRPr="00625FD7">
        <w:rPr>
          <w:sz w:val="23"/>
          <w:szCs w:val="23"/>
        </w:rPr>
        <w:t xml:space="preserve">on an economy already experiencing cumulative cost shocks including National Minimum Wage increases of 87%, Corporate Tax increases of 25%, VAT increases of 39%, and </w:t>
      </w:r>
      <w:r w:rsidR="000E43B0" w:rsidRPr="00625FD7">
        <w:rPr>
          <w:sz w:val="23"/>
          <w:szCs w:val="23"/>
        </w:rPr>
        <w:t xml:space="preserve">up to 13% cumulative </w:t>
      </w:r>
      <w:r w:rsidRPr="00625FD7">
        <w:rPr>
          <w:sz w:val="23"/>
          <w:szCs w:val="23"/>
        </w:rPr>
        <w:t>general inflation since 2021</w:t>
      </w:r>
      <w:r w:rsidR="000E43B0" w:rsidRPr="00625FD7">
        <w:rPr>
          <w:sz w:val="23"/>
          <w:szCs w:val="23"/>
        </w:rPr>
        <w:t xml:space="preserve"> to end of 2025</w:t>
      </w:r>
      <w:r w:rsidRPr="00625FD7">
        <w:rPr>
          <w:sz w:val="23"/>
          <w:szCs w:val="23"/>
        </w:rPr>
        <w:t>. Fiji's businesses have no remaining absorption capacity for a 34.7% electricity increase. Commercial cost increases will transmit through supply chains to all consumers regardless of their direct electricity tariff category.</w:t>
      </w:r>
    </w:p>
    <w:p w14:paraId="38CA3410" w14:textId="77777777" w:rsidR="00F04160" w:rsidRPr="00625FD7" w:rsidRDefault="00F04160" w:rsidP="000A3860">
      <w:pPr>
        <w:jc w:val="both"/>
        <w:rPr>
          <w:sz w:val="23"/>
          <w:szCs w:val="23"/>
        </w:rPr>
      </w:pPr>
      <w:r w:rsidRPr="00625FD7">
        <w:rPr>
          <w:b/>
          <w:sz w:val="23"/>
          <w:szCs w:val="23"/>
        </w:rPr>
        <w:t xml:space="preserve">Fifth, the determination would allow EFL to socialize the costs of strategic </w:t>
      </w:r>
      <w:r w:rsidRPr="00625FD7">
        <w:rPr>
          <w:sz w:val="23"/>
          <w:szCs w:val="23"/>
        </w:rPr>
        <w:t xml:space="preserve">failures —particularly the prolonged delay in adopting solar-plus-storage technologies that have declined 85-90% in cost over the past decade. Between 2019 and 2024, as global solar costs fell by 90%, EFL’s solar/wind generation mix actually fell from 0.30% to a negligible 0.07% (0.8 </w:t>
      </w:r>
      <w:r w:rsidRPr="00625FD7">
        <w:rPr>
          <w:noProof/>
          <w:sz w:val="23"/>
          <w:szCs w:val="23"/>
          <w:lang w:val="en-GB"/>
        </w:rPr>
        <w:t>GWh</w:t>
      </w:r>
      <w:r w:rsidRPr="00625FD7">
        <w:rPr>
          <w:sz w:val="23"/>
          <w:szCs w:val="23"/>
        </w:rPr>
        <w:t xml:space="preserve"> of 1,095</w:t>
      </w:r>
      <w:r w:rsidRPr="00625FD7">
        <w:rPr>
          <w:sz w:val="23"/>
          <w:szCs w:val="23"/>
          <w:lang w:val="en-GB"/>
        </w:rPr>
        <w:t xml:space="preserve"> GWh</w:t>
      </w:r>
      <w:r w:rsidRPr="00625FD7">
        <w:rPr>
          <w:sz w:val="23"/>
          <w:szCs w:val="23"/>
        </w:rPr>
        <w:t xml:space="preserve"> in 2024). By remaining tethered to diesel, EFL incurred a $211 million fuel bill in 2024. Island peers including Barbados, Seychelles, Hawaii, and the Maldives deployed solar aggressively during the same period, achieving lower costs and greater resilience without equivalent tariff burdens.</w:t>
      </w:r>
    </w:p>
    <w:p w14:paraId="403C1AE3" w14:textId="77777777" w:rsidR="00AA2148" w:rsidRPr="00625FD7" w:rsidRDefault="00B771E4" w:rsidP="000A3860">
      <w:pPr>
        <w:jc w:val="both"/>
        <w:rPr>
          <w:sz w:val="23"/>
          <w:szCs w:val="23"/>
        </w:rPr>
      </w:pPr>
      <w:r w:rsidRPr="00625FD7">
        <w:rPr>
          <w:b/>
          <w:sz w:val="23"/>
          <w:szCs w:val="23"/>
        </w:rPr>
        <w:t xml:space="preserve">Sixth, the determination was made without requiring demonstration </w:t>
      </w:r>
      <w:r w:rsidRPr="00625FD7">
        <w:rPr>
          <w:sz w:val="23"/>
          <w:szCs w:val="23"/>
        </w:rPr>
        <w:t>that EFL's proposed capital program represents the least-cost pathway, without independent technical assessment of demand forecasts and cost estimates, and without examination of whether alternative financing structures could reduce the consumer burden. Lifecycle cost analysis demonstrates that solar-plus-storage is 50-70% cheaper than diesel over 20-year asset lives.</w:t>
      </w:r>
    </w:p>
    <w:p w14:paraId="5CE03E78" w14:textId="77777777" w:rsidR="00F04160" w:rsidRPr="00625FD7" w:rsidRDefault="00F04160" w:rsidP="00F04160">
      <w:pPr>
        <w:spacing w:after="0" w:line="259" w:lineRule="auto"/>
        <w:rPr>
          <w:rFonts w:ascii="Calibri" w:eastAsia="Calibri" w:hAnsi="Calibri" w:cs="Calibri"/>
          <w:sz w:val="28"/>
          <w:szCs w:val="26"/>
        </w:rPr>
      </w:pPr>
      <w:r w:rsidRPr="00625FD7">
        <w:rPr>
          <w:rFonts w:ascii="Calibri" w:eastAsia="Calibri" w:hAnsi="Calibri" w:cs="Calibri"/>
          <w:b/>
          <w:bCs/>
          <w:sz w:val="28"/>
          <w:szCs w:val="26"/>
        </w:rPr>
        <w:t>Formal Requests</w:t>
      </w:r>
      <w:r w:rsidRPr="00625FD7">
        <w:rPr>
          <w:rFonts w:ascii="Calibri" w:eastAsia="Calibri" w:hAnsi="Calibri" w:cs="Calibri"/>
          <w:sz w:val="28"/>
          <w:szCs w:val="26"/>
        </w:rPr>
        <w:t xml:space="preserve"> </w:t>
      </w:r>
    </w:p>
    <w:p w14:paraId="21C970CA" w14:textId="77777777" w:rsidR="00F04160" w:rsidRPr="00625FD7" w:rsidRDefault="00F04160" w:rsidP="00F04160">
      <w:pPr>
        <w:spacing w:after="0" w:line="259" w:lineRule="auto"/>
        <w:rPr>
          <w:rFonts w:eastAsia="Calibri" w:cs="Arial"/>
          <w:sz w:val="23"/>
          <w:szCs w:val="23"/>
        </w:rPr>
      </w:pPr>
      <w:r w:rsidRPr="00625FD7">
        <w:rPr>
          <w:rFonts w:eastAsia="Calibri" w:cs="Arial"/>
          <w:sz w:val="23"/>
          <w:szCs w:val="23"/>
        </w:rPr>
        <w:t>For these reasons, FCEF formally requests that the Commission:</w:t>
      </w:r>
    </w:p>
    <w:p w14:paraId="47F8BE23" w14:textId="77777777" w:rsidR="00F04160" w:rsidRPr="00F04160" w:rsidRDefault="00F04160" w:rsidP="00F04160">
      <w:pPr>
        <w:spacing w:after="0" w:line="259" w:lineRule="auto"/>
        <w:rPr>
          <w:rFonts w:eastAsia="Calibri" w:cs="Arial"/>
          <w:sz w:val="16"/>
        </w:rPr>
      </w:pPr>
    </w:p>
    <w:p w14:paraId="2CA32CDE" w14:textId="77777777" w:rsidR="00F04160" w:rsidRPr="00625FD7" w:rsidRDefault="00F04160" w:rsidP="000A3860">
      <w:pPr>
        <w:numPr>
          <w:ilvl w:val="0"/>
          <w:numId w:val="12"/>
        </w:numPr>
        <w:spacing w:after="0" w:line="259" w:lineRule="auto"/>
        <w:jc w:val="both"/>
        <w:rPr>
          <w:rFonts w:eastAsia="Calibri" w:cs="Arial"/>
          <w:sz w:val="23"/>
          <w:szCs w:val="23"/>
        </w:rPr>
      </w:pPr>
      <w:r w:rsidRPr="00625FD7">
        <w:rPr>
          <w:rFonts w:eastAsia="Calibri" w:cs="Arial"/>
          <w:sz w:val="23"/>
          <w:szCs w:val="23"/>
        </w:rPr>
        <w:t>Set aside the determination of 19 December 2025 in its entirety on grounds of procedural invalidity and failure to satisfy statutory requirements;</w:t>
      </w:r>
    </w:p>
    <w:p w14:paraId="0AFD068F" w14:textId="77777777" w:rsidR="00F04160" w:rsidRPr="00625FD7" w:rsidRDefault="00F04160" w:rsidP="000A3860">
      <w:pPr>
        <w:numPr>
          <w:ilvl w:val="0"/>
          <w:numId w:val="12"/>
        </w:numPr>
        <w:spacing w:after="0" w:line="259" w:lineRule="auto"/>
        <w:jc w:val="both"/>
        <w:rPr>
          <w:rFonts w:eastAsia="Calibri" w:cs="Arial"/>
          <w:sz w:val="23"/>
          <w:szCs w:val="23"/>
        </w:rPr>
      </w:pPr>
      <w:r w:rsidRPr="00625FD7">
        <w:rPr>
          <w:rFonts w:eastAsia="Calibri" w:cs="Arial"/>
          <w:sz w:val="23"/>
          <w:szCs w:val="23"/>
        </w:rPr>
        <w:t>Decline to approve EFL's tariff application unless and until a proper regulatory process is conducted with full disclosure, adequate time, and independent assessment;</w:t>
      </w:r>
    </w:p>
    <w:p w14:paraId="27F1617C" w14:textId="77777777" w:rsidR="00F04160" w:rsidRPr="00625FD7" w:rsidRDefault="00F04160" w:rsidP="000A3860">
      <w:pPr>
        <w:numPr>
          <w:ilvl w:val="0"/>
          <w:numId w:val="12"/>
        </w:numPr>
        <w:spacing w:after="0" w:line="259" w:lineRule="auto"/>
        <w:jc w:val="both"/>
        <w:rPr>
          <w:rFonts w:eastAsia="Calibri" w:cs="Arial"/>
          <w:sz w:val="23"/>
          <w:szCs w:val="23"/>
        </w:rPr>
      </w:pPr>
      <w:r w:rsidRPr="00625FD7">
        <w:rPr>
          <w:rFonts w:eastAsia="Calibri" w:cs="Arial"/>
          <w:sz w:val="23"/>
          <w:szCs w:val="23"/>
        </w:rPr>
        <w:t>Require publication of EFL's complete May 2025 application and all supporting documentation before any further consideration;</w:t>
      </w:r>
    </w:p>
    <w:p w14:paraId="72359B19" w14:textId="77777777" w:rsidR="00F04160" w:rsidRPr="00625FD7" w:rsidRDefault="00F04160" w:rsidP="000A3860">
      <w:pPr>
        <w:numPr>
          <w:ilvl w:val="0"/>
          <w:numId w:val="12"/>
        </w:numPr>
        <w:spacing w:after="0" w:line="259" w:lineRule="auto"/>
        <w:jc w:val="both"/>
        <w:rPr>
          <w:rFonts w:eastAsia="Calibri" w:cs="Arial"/>
          <w:sz w:val="23"/>
          <w:szCs w:val="23"/>
        </w:rPr>
      </w:pPr>
      <w:r w:rsidRPr="00625FD7">
        <w:rPr>
          <w:rFonts w:eastAsia="Calibri" w:cs="Arial"/>
          <w:sz w:val="23"/>
          <w:szCs w:val="23"/>
        </w:rPr>
        <w:t>Commission independent technical and financial assessments with specified terms of reference before any determination is made;</w:t>
      </w:r>
    </w:p>
    <w:p w14:paraId="0D8C121C" w14:textId="77777777" w:rsidR="00F04160" w:rsidRPr="00625FD7" w:rsidRDefault="00F04160" w:rsidP="000A3860">
      <w:pPr>
        <w:numPr>
          <w:ilvl w:val="0"/>
          <w:numId w:val="12"/>
        </w:numPr>
        <w:spacing w:after="0" w:line="259" w:lineRule="auto"/>
        <w:jc w:val="both"/>
        <w:rPr>
          <w:rFonts w:eastAsia="Calibri" w:cs="Arial"/>
          <w:sz w:val="23"/>
          <w:szCs w:val="23"/>
        </w:rPr>
      </w:pPr>
      <w:r w:rsidRPr="00625FD7">
        <w:rPr>
          <w:rFonts w:eastAsia="Calibri" w:cs="Arial"/>
          <w:sz w:val="23"/>
          <w:szCs w:val="23"/>
        </w:rPr>
        <w:lastRenderedPageBreak/>
        <w:t xml:space="preserve">Conduct meaningful consultation with minimum 60-day timeline and public hearings before reaching any </w:t>
      </w:r>
      <w:r w:rsidR="00020067">
        <w:rPr>
          <w:rFonts w:eastAsia="Calibri" w:cs="Arial"/>
          <w:sz w:val="23"/>
          <w:szCs w:val="23"/>
        </w:rPr>
        <w:t>decision on electricity tariffs;</w:t>
      </w:r>
    </w:p>
    <w:p w14:paraId="519F71BF" w14:textId="77777777" w:rsidR="00F04160" w:rsidRPr="00625FD7" w:rsidRDefault="00F04160" w:rsidP="000A3860">
      <w:pPr>
        <w:numPr>
          <w:ilvl w:val="0"/>
          <w:numId w:val="12"/>
        </w:numPr>
        <w:spacing w:after="0" w:line="259" w:lineRule="auto"/>
        <w:jc w:val="both"/>
        <w:rPr>
          <w:rFonts w:eastAsia="Calibri" w:cs="Arial"/>
          <w:sz w:val="23"/>
          <w:szCs w:val="23"/>
        </w:rPr>
      </w:pPr>
      <w:r w:rsidRPr="00625FD7">
        <w:rPr>
          <w:rFonts w:eastAsia="Calibri" w:cs="Arial"/>
          <w:sz w:val="23"/>
          <w:szCs w:val="23"/>
        </w:rPr>
        <w:t>Order an independent audit of the $1.2 billion</w:t>
      </w:r>
      <w:r w:rsidRPr="00625FD7">
        <w:rPr>
          <w:rFonts w:eastAsia="Calibri" w:cs="Arial"/>
          <w:sz w:val="23"/>
          <w:szCs w:val="23"/>
          <w:lang w:val="en-GB"/>
        </w:rPr>
        <w:t xml:space="preserve"> privatisation</w:t>
      </w:r>
      <w:r w:rsidRPr="00625FD7">
        <w:rPr>
          <w:rFonts w:eastAsia="Calibri" w:cs="Arial"/>
          <w:sz w:val="23"/>
          <w:szCs w:val="23"/>
        </w:rPr>
        <w:t xml:space="preserve"> proceeds from 2018 to determine</w:t>
      </w:r>
      <w:r w:rsidR="00020067">
        <w:rPr>
          <w:rFonts w:eastAsia="Calibri" w:cs="Arial"/>
          <w:sz w:val="23"/>
          <w:szCs w:val="23"/>
        </w:rPr>
        <w:t xml:space="preserve"> their current location and use;</w:t>
      </w:r>
    </w:p>
    <w:p w14:paraId="6CDB815A" w14:textId="77777777" w:rsidR="00F04160" w:rsidRPr="00625FD7" w:rsidRDefault="00F04160" w:rsidP="000A3860">
      <w:pPr>
        <w:numPr>
          <w:ilvl w:val="0"/>
          <w:numId w:val="12"/>
        </w:numPr>
        <w:spacing w:after="0" w:line="259" w:lineRule="auto"/>
        <w:jc w:val="both"/>
        <w:rPr>
          <w:rFonts w:eastAsia="Calibri" w:cs="Arial"/>
          <w:sz w:val="23"/>
          <w:szCs w:val="23"/>
        </w:rPr>
      </w:pPr>
      <w:r w:rsidRPr="00625FD7">
        <w:rPr>
          <w:rFonts w:eastAsia="Calibri" w:cs="Arial"/>
          <w:sz w:val="23"/>
          <w:szCs w:val="23"/>
        </w:rPr>
        <w:t>Mandate a dividend moratorium until EFL’s gearing ratio reaches prudent industry level</w:t>
      </w:r>
      <w:r w:rsidR="00020067">
        <w:rPr>
          <w:rFonts w:eastAsia="Calibri" w:cs="Arial"/>
          <w:sz w:val="23"/>
          <w:szCs w:val="23"/>
        </w:rPr>
        <w:t>s and renewable targets are met;</w:t>
      </w:r>
    </w:p>
    <w:p w14:paraId="3BFE5926" w14:textId="77777777" w:rsidR="00F04160" w:rsidRPr="00625FD7" w:rsidRDefault="00F04160" w:rsidP="000A3860">
      <w:pPr>
        <w:numPr>
          <w:ilvl w:val="0"/>
          <w:numId w:val="12"/>
        </w:numPr>
        <w:spacing w:after="0" w:line="259" w:lineRule="auto"/>
        <w:jc w:val="both"/>
        <w:rPr>
          <w:rFonts w:eastAsia="Calibri" w:cs="Arial"/>
          <w:sz w:val="23"/>
          <w:szCs w:val="23"/>
        </w:rPr>
      </w:pPr>
      <w:r w:rsidRPr="00625FD7">
        <w:rPr>
          <w:rFonts w:eastAsia="Calibri" w:cs="Arial"/>
          <w:sz w:val="23"/>
          <w:szCs w:val="23"/>
        </w:rPr>
        <w:t>Offset the $52.136 million in customer cash deposits and $257.1 million in banking headroom against EFL’s revenue requirement.</w:t>
      </w:r>
    </w:p>
    <w:p w14:paraId="27AEDF99" w14:textId="77777777" w:rsidR="00F04160" w:rsidRPr="000E43B0" w:rsidRDefault="00F04160" w:rsidP="00F04160">
      <w:pPr>
        <w:spacing w:after="0"/>
        <w:rPr>
          <w:sz w:val="20"/>
        </w:rPr>
      </w:pPr>
    </w:p>
    <w:p w14:paraId="7AC4AD6C" w14:textId="77777777" w:rsidR="00AA2148" w:rsidRPr="00625FD7" w:rsidRDefault="00B771E4" w:rsidP="000A3860">
      <w:pPr>
        <w:jc w:val="both"/>
        <w:rPr>
          <w:sz w:val="23"/>
          <w:szCs w:val="23"/>
        </w:rPr>
      </w:pPr>
      <w:r w:rsidRPr="00625FD7">
        <w:rPr>
          <w:sz w:val="23"/>
          <w:szCs w:val="23"/>
        </w:rPr>
        <w:t>The stakes extend beyond this tariff determination. The Commission's decision will establish precedent that shapes utility regulation in Fiji for years to come. Sustaining the determination would expose the Commission to significant institutional and reputational risk, given the clear departure from its statutory objectives and established regulatory standards.</w:t>
      </w:r>
    </w:p>
    <w:p w14:paraId="663DF4F4" w14:textId="77777777" w:rsidR="00AA2148" w:rsidRPr="00625FD7" w:rsidRDefault="00B771E4">
      <w:pPr>
        <w:pStyle w:val="Heading1"/>
        <w:rPr>
          <w:sz w:val="32"/>
        </w:rPr>
      </w:pPr>
      <w:r w:rsidRPr="00625FD7">
        <w:rPr>
          <w:color w:val="000000"/>
          <w:sz w:val="32"/>
        </w:rPr>
        <w:t>1. STATUTORY OBJECTIVES AND DUTIES NOT FULFILLED</w:t>
      </w:r>
    </w:p>
    <w:p w14:paraId="71EB240E" w14:textId="77777777" w:rsidR="00AA2148" w:rsidRPr="00625FD7" w:rsidRDefault="00B771E4" w:rsidP="000A3860">
      <w:pPr>
        <w:jc w:val="both"/>
        <w:rPr>
          <w:sz w:val="23"/>
          <w:szCs w:val="23"/>
        </w:rPr>
      </w:pPr>
      <w:r w:rsidRPr="00625FD7">
        <w:rPr>
          <w:sz w:val="23"/>
          <w:szCs w:val="23"/>
        </w:rPr>
        <w:t>Before examining the specific procedural and substantive failures of this determination, it is necessary to establish the statutory framework within which the Commission must operate. Both the FCCC Act 2010 and the Electricity Act 2017 impose specific obligations that constrain the Commission's discretion and define the standards against which this determination must be assessed.</w:t>
      </w:r>
    </w:p>
    <w:p w14:paraId="64D3311C" w14:textId="77777777" w:rsidR="00F04160" w:rsidRPr="00625FD7" w:rsidRDefault="007B08CE" w:rsidP="00F04160">
      <w:pPr>
        <w:numPr>
          <w:ilvl w:val="1"/>
          <w:numId w:val="13"/>
        </w:numPr>
        <w:spacing w:after="0" w:line="259" w:lineRule="auto"/>
        <w:contextualSpacing/>
        <w:rPr>
          <w:rFonts w:ascii="Calibri" w:eastAsia="Calibri" w:hAnsi="Calibri" w:cs="Calibri"/>
          <w:b/>
          <w:sz w:val="28"/>
          <w:szCs w:val="26"/>
        </w:rPr>
      </w:pPr>
      <w:r>
        <w:rPr>
          <w:rFonts w:ascii="Calibri" w:eastAsia="Calibri" w:hAnsi="Calibri" w:cs="Calibri"/>
          <w:b/>
          <w:sz w:val="28"/>
          <w:szCs w:val="26"/>
        </w:rPr>
        <w:t xml:space="preserve"> </w:t>
      </w:r>
      <w:r w:rsidR="00F04160" w:rsidRPr="00625FD7">
        <w:rPr>
          <w:rFonts w:ascii="Calibri" w:eastAsia="Calibri" w:hAnsi="Calibri" w:cs="Calibri"/>
          <w:b/>
          <w:sz w:val="28"/>
          <w:szCs w:val="26"/>
        </w:rPr>
        <w:t xml:space="preserve">FCCC Act 2010: Consumer Protection and Procedural Obligations </w:t>
      </w:r>
    </w:p>
    <w:p w14:paraId="150FDB1D" w14:textId="77777777" w:rsidR="00F04160" w:rsidRPr="00625FD7" w:rsidRDefault="00F04160" w:rsidP="000A3860">
      <w:pPr>
        <w:spacing w:after="0" w:line="259" w:lineRule="auto"/>
        <w:jc w:val="both"/>
        <w:rPr>
          <w:rFonts w:eastAsia="Calibri" w:cs="Arial"/>
          <w:sz w:val="23"/>
          <w:szCs w:val="23"/>
        </w:rPr>
      </w:pPr>
      <w:r w:rsidRPr="00625FD7">
        <w:rPr>
          <w:rFonts w:eastAsia="Calibri" w:cs="Arial"/>
          <w:sz w:val="23"/>
          <w:szCs w:val="23"/>
        </w:rPr>
        <w:t xml:space="preserve">The FCCC Act establishes the Commission as the regulator responsible for ensuring that prices charged by regulated entities are reasonable, that consumer interests are protected, and that regulatory processes are conducted fairly and transparently. </w:t>
      </w:r>
      <w:r w:rsidR="001E0B45" w:rsidRPr="00625FD7">
        <w:rPr>
          <w:rFonts w:eastAsia="Calibri" w:cs="Arial"/>
          <w:i/>
          <w:sz w:val="23"/>
          <w:szCs w:val="23"/>
        </w:rPr>
        <w:t>Under the Act, the Commission is mandated to promote the interests of consumers and ensure that regulated prices are reasonable</w:t>
      </w:r>
      <w:r w:rsidRPr="00625FD7">
        <w:rPr>
          <w:rFonts w:eastAsia="Calibri" w:cs="Arial"/>
          <w:sz w:val="23"/>
          <w:szCs w:val="23"/>
        </w:rPr>
        <w:t>. A 34.7% increase</w:t>
      </w:r>
      <w:r w:rsidR="006E35F3" w:rsidRPr="00625FD7">
        <w:rPr>
          <w:rFonts w:eastAsia="Calibri" w:cs="Arial"/>
          <w:sz w:val="23"/>
          <w:szCs w:val="23"/>
        </w:rPr>
        <w:t xml:space="preserve"> - </w:t>
      </w:r>
      <w:r w:rsidRPr="00625FD7">
        <w:rPr>
          <w:rFonts w:eastAsia="Calibri" w:cs="Arial"/>
          <w:sz w:val="23"/>
          <w:szCs w:val="23"/>
        </w:rPr>
        <w:t>occurring alongside a 25% corporate tax hike and 87% minimum wage increase</w:t>
      </w:r>
      <w:r w:rsidR="006E35F3" w:rsidRPr="00625FD7">
        <w:rPr>
          <w:rFonts w:eastAsia="Calibri" w:cs="Arial"/>
          <w:sz w:val="23"/>
          <w:szCs w:val="23"/>
        </w:rPr>
        <w:t xml:space="preserve"> - </w:t>
      </w:r>
      <w:r w:rsidRPr="00625FD7">
        <w:rPr>
          <w:rFonts w:eastAsia="Calibri" w:cs="Arial"/>
          <w:sz w:val="23"/>
          <w:szCs w:val="23"/>
        </w:rPr>
        <w:t>is neither fair nor reasonable. A process that announces a major revenue-increasing determination before stakeholders can examine the evidence or propose alternatives cannot be reconciled with the Commission's statutory duty to protect consumer interests and ensure reasonable prices.</w:t>
      </w:r>
    </w:p>
    <w:p w14:paraId="1C559625" w14:textId="77777777" w:rsidR="00F04160" w:rsidRPr="00F04160" w:rsidRDefault="00F04160" w:rsidP="00F04160">
      <w:pPr>
        <w:spacing w:after="0" w:line="259" w:lineRule="auto"/>
        <w:rPr>
          <w:rFonts w:eastAsia="Calibri" w:cs="Arial"/>
        </w:rPr>
      </w:pPr>
    </w:p>
    <w:p w14:paraId="1A6DBC2C" w14:textId="77777777" w:rsidR="00F04160" w:rsidRPr="00625FD7" w:rsidRDefault="007B08CE" w:rsidP="00F04160">
      <w:pPr>
        <w:numPr>
          <w:ilvl w:val="1"/>
          <w:numId w:val="13"/>
        </w:numPr>
        <w:spacing w:after="0" w:line="259" w:lineRule="auto"/>
        <w:contextualSpacing/>
        <w:rPr>
          <w:rFonts w:ascii="Calibri" w:eastAsia="Calibri" w:hAnsi="Calibri" w:cs="Calibri"/>
          <w:b/>
          <w:sz w:val="28"/>
          <w:szCs w:val="26"/>
        </w:rPr>
      </w:pPr>
      <w:r>
        <w:rPr>
          <w:rFonts w:ascii="Calibri" w:eastAsia="Calibri" w:hAnsi="Calibri" w:cs="Calibri"/>
          <w:b/>
          <w:sz w:val="28"/>
          <w:szCs w:val="26"/>
        </w:rPr>
        <w:t xml:space="preserve"> </w:t>
      </w:r>
      <w:r w:rsidR="00F04160" w:rsidRPr="00625FD7">
        <w:rPr>
          <w:rFonts w:ascii="Calibri" w:eastAsia="Calibri" w:hAnsi="Calibri" w:cs="Calibri"/>
          <w:b/>
          <w:sz w:val="28"/>
          <w:szCs w:val="26"/>
        </w:rPr>
        <w:t xml:space="preserve">Electricity Act 2017: Pricing Principles and Efficiency Requirements </w:t>
      </w:r>
    </w:p>
    <w:p w14:paraId="7ED89655" w14:textId="77777777" w:rsidR="00F04160" w:rsidRPr="00625FD7" w:rsidRDefault="00F04160" w:rsidP="000A3860">
      <w:pPr>
        <w:spacing w:after="0" w:line="259" w:lineRule="auto"/>
        <w:jc w:val="both"/>
        <w:rPr>
          <w:rFonts w:eastAsia="Calibri" w:cs="Arial"/>
          <w:sz w:val="23"/>
          <w:szCs w:val="23"/>
        </w:rPr>
      </w:pPr>
      <w:r w:rsidRPr="00625FD7">
        <w:rPr>
          <w:rFonts w:eastAsia="Calibri" w:cs="Arial"/>
          <w:sz w:val="23"/>
          <w:szCs w:val="23"/>
        </w:rPr>
        <w:t xml:space="preserve">The Electricity Act establishes specific requirements for electricity pricing that the Commission must apply in tariff determinations. </w:t>
      </w:r>
      <w:r w:rsidR="00577C6E" w:rsidRPr="00625FD7">
        <w:rPr>
          <w:rFonts w:eastAsia="Calibri" w:cs="Arial"/>
          <w:i/>
          <w:sz w:val="23"/>
          <w:szCs w:val="23"/>
        </w:rPr>
        <w:t>Section 11 requires licensees to operate in an efficient and economical manner</w:t>
      </w:r>
      <w:r w:rsidRPr="00625FD7">
        <w:rPr>
          <w:rFonts w:eastAsia="Calibri" w:cs="Arial"/>
          <w:sz w:val="23"/>
          <w:szCs w:val="23"/>
        </w:rPr>
        <w:t xml:space="preserve">. EFL’s reliance on expensive diesel (costing $211 million in 2024) while its solar generation actually decreased to just 0.07% of its mix indicates a system that is fundamentally uneconomical. A determination that has not tested whether proposed costs are efficient or whether lower-cost alternatives exist cannot satisfy the statutory requirement that charges reflect only efficient costs. Failure to require demonstration that capital expenditures are </w:t>
      </w:r>
      <w:r w:rsidRPr="00625FD7">
        <w:rPr>
          <w:rFonts w:eastAsia="Calibri" w:cs="Arial"/>
          <w:sz w:val="23"/>
          <w:szCs w:val="23"/>
        </w:rPr>
        <w:lastRenderedPageBreak/>
        <w:t>prudent and necessary before allowing consumer recovery departs from the Act's pricing principles.</w:t>
      </w:r>
    </w:p>
    <w:p w14:paraId="560C3D7A" w14:textId="77777777" w:rsidR="00AA2148" w:rsidRPr="00625FD7" w:rsidRDefault="007B08CE">
      <w:pPr>
        <w:pStyle w:val="Heading2"/>
        <w:rPr>
          <w:sz w:val="28"/>
        </w:rPr>
      </w:pPr>
      <w:r>
        <w:rPr>
          <w:color w:val="000000"/>
          <w:sz w:val="28"/>
        </w:rPr>
        <w:t xml:space="preserve">1.3 </w:t>
      </w:r>
      <w:r w:rsidR="00B771E4" w:rsidRPr="00625FD7">
        <w:rPr>
          <w:color w:val="000000"/>
          <w:sz w:val="28"/>
        </w:rPr>
        <w:t>International Regulatory Standards: World Bank Guidelines</w:t>
      </w:r>
    </w:p>
    <w:p w14:paraId="2E9F623D" w14:textId="77777777" w:rsidR="00AA2148" w:rsidRPr="00625FD7" w:rsidRDefault="00B771E4" w:rsidP="000A3860">
      <w:pPr>
        <w:jc w:val="both"/>
        <w:rPr>
          <w:sz w:val="23"/>
          <w:szCs w:val="23"/>
        </w:rPr>
      </w:pPr>
      <w:r w:rsidRPr="00625FD7">
        <w:rPr>
          <w:sz w:val="23"/>
          <w:szCs w:val="23"/>
        </w:rPr>
        <w:t>The World Bank's Global Electricity Regulatory Index (GERI) measures electricity regulators on transparency, accountability, and public consultation. Top-performing regulators require stakeholder input and full disclosure before final tariff decisions. The World Bank's tariff-setting guidelines</w:t>
      </w:r>
      <w:r w:rsidR="00FF68D3" w:rsidRPr="00625FD7">
        <w:rPr>
          <w:sz w:val="23"/>
          <w:szCs w:val="23"/>
        </w:rPr>
        <w:t xml:space="preserve"> under Public-Private Infrastructure Advisory Facility</w:t>
      </w:r>
      <w:r w:rsidRPr="00625FD7">
        <w:rPr>
          <w:sz w:val="23"/>
          <w:szCs w:val="23"/>
        </w:rPr>
        <w:t xml:space="preserve"> (PPIAF) specifically warn that post-decision or rushed processes create perceptions of bias and fail fairness standards. The Commission's process in this case would fail GERI transparency and consultation criteria.</w:t>
      </w:r>
    </w:p>
    <w:tbl>
      <w:tblPr>
        <w:tblW w:w="0" w:type="auto"/>
        <w:jc w:val="center"/>
        <w:tblLook w:val="04A0" w:firstRow="1" w:lastRow="0" w:firstColumn="1" w:lastColumn="0" w:noHBand="0" w:noVBand="1"/>
      </w:tblPr>
      <w:tblGrid>
        <w:gridCol w:w="8640"/>
      </w:tblGrid>
      <w:tr w:rsidR="00AA2148" w14:paraId="1BED2526" w14:textId="77777777">
        <w:trPr>
          <w:jc w:val="center"/>
        </w:trPr>
        <w:tc>
          <w:tcPr>
            <w:tcW w:w="8640" w:type="dxa"/>
            <w:shd w:val="clear" w:color="auto" w:fill="E8F4F8"/>
          </w:tcPr>
          <w:p w14:paraId="33888DBC" w14:textId="77777777" w:rsidR="00AA2148" w:rsidRPr="00625FD7" w:rsidRDefault="00B771E4">
            <w:pPr>
              <w:rPr>
                <w:sz w:val="23"/>
                <w:szCs w:val="23"/>
              </w:rPr>
            </w:pPr>
            <w:r w:rsidRPr="00625FD7">
              <w:rPr>
                <w:b/>
                <w:sz w:val="23"/>
                <w:szCs w:val="23"/>
              </w:rPr>
              <w:t>Key Points – Section 1:</w:t>
            </w:r>
          </w:p>
          <w:p w14:paraId="18B23B64" w14:textId="77777777" w:rsidR="005C4B3F" w:rsidRPr="00625FD7" w:rsidRDefault="005C4B3F" w:rsidP="007B08CE">
            <w:pPr>
              <w:pStyle w:val="ListBullet"/>
              <w:spacing w:line="300" w:lineRule="auto"/>
              <w:ind w:left="357" w:hanging="357"/>
              <w:jc w:val="both"/>
              <w:rPr>
                <w:sz w:val="21"/>
                <w:szCs w:val="21"/>
              </w:rPr>
            </w:pPr>
            <w:r w:rsidRPr="00625FD7">
              <w:rPr>
                <w:sz w:val="21"/>
                <w:szCs w:val="21"/>
              </w:rPr>
              <w:t>The FCCC Act 2010 requires the Commission to protect consumer interests, ensure reasonable prices, and act transparently</w:t>
            </w:r>
            <w:r w:rsidR="00FF68D3" w:rsidRPr="00625FD7">
              <w:rPr>
                <w:sz w:val="21"/>
                <w:szCs w:val="21"/>
              </w:rPr>
              <w:t xml:space="preserve"> - </w:t>
            </w:r>
            <w:r w:rsidRPr="00625FD7">
              <w:rPr>
                <w:sz w:val="21"/>
                <w:szCs w:val="21"/>
              </w:rPr>
              <w:t xml:space="preserve">duties incompatible with announcing approval before consultation and approving a 34.7% increase amid cumulative cost shocks. </w:t>
            </w:r>
          </w:p>
          <w:p w14:paraId="089D39DB" w14:textId="77777777" w:rsidR="005C4B3F" w:rsidRPr="00625FD7" w:rsidRDefault="005C4B3F" w:rsidP="007B08CE">
            <w:pPr>
              <w:pStyle w:val="ListBullet"/>
              <w:spacing w:line="300" w:lineRule="auto"/>
              <w:ind w:left="357" w:hanging="357"/>
              <w:jc w:val="both"/>
              <w:rPr>
                <w:sz w:val="21"/>
                <w:szCs w:val="21"/>
              </w:rPr>
            </w:pPr>
            <w:r w:rsidRPr="00625FD7">
              <w:rPr>
                <w:sz w:val="21"/>
                <w:szCs w:val="21"/>
              </w:rPr>
              <w:t>The Electricity Act 2017 requires an efficient and economical system and allows cost modification where the operator is not prudent</w:t>
            </w:r>
            <w:r w:rsidR="00FF68D3" w:rsidRPr="00625FD7">
              <w:rPr>
                <w:sz w:val="21"/>
                <w:szCs w:val="21"/>
              </w:rPr>
              <w:t xml:space="preserve"> - </w:t>
            </w:r>
            <w:r w:rsidRPr="00625FD7">
              <w:rPr>
                <w:sz w:val="21"/>
                <w:szCs w:val="21"/>
              </w:rPr>
              <w:t>standards not met when EFL pays $40.7 million dividends in a loss year, leaves $257 million banking headroom unused, and incurs $211 million in avoidable diesel costs.</w:t>
            </w:r>
          </w:p>
          <w:p w14:paraId="12C147D3" w14:textId="77777777" w:rsidR="00AA2148" w:rsidRDefault="00B771E4" w:rsidP="007B08CE">
            <w:pPr>
              <w:pStyle w:val="ListBullet"/>
              <w:spacing w:line="300" w:lineRule="auto"/>
              <w:ind w:left="357" w:hanging="357"/>
              <w:jc w:val="both"/>
            </w:pPr>
            <w:r w:rsidRPr="00625FD7">
              <w:rPr>
                <w:sz w:val="21"/>
                <w:szCs w:val="21"/>
              </w:rPr>
              <w:t>World Bank GERI and PPIAF standards require consultation before, not after, tariff determinations</w:t>
            </w:r>
            <w:r w:rsidR="00FF68D3" w:rsidRPr="00625FD7">
              <w:rPr>
                <w:sz w:val="21"/>
                <w:szCs w:val="21"/>
              </w:rPr>
              <w:t xml:space="preserve"> - </w:t>
            </w:r>
            <w:r w:rsidRPr="00625FD7">
              <w:rPr>
                <w:sz w:val="21"/>
                <w:szCs w:val="21"/>
              </w:rPr>
              <w:t>the Commission's process would fail international transparency and fairness assessments.</w:t>
            </w:r>
          </w:p>
        </w:tc>
      </w:tr>
    </w:tbl>
    <w:p w14:paraId="73B6DED2" w14:textId="77777777" w:rsidR="00AA2148" w:rsidRPr="00625FD7" w:rsidRDefault="00B771E4">
      <w:pPr>
        <w:pStyle w:val="Heading1"/>
        <w:rPr>
          <w:color w:val="000000"/>
          <w:sz w:val="32"/>
        </w:rPr>
      </w:pPr>
      <w:r w:rsidRPr="00625FD7">
        <w:rPr>
          <w:color w:val="000000"/>
          <w:sz w:val="32"/>
        </w:rPr>
        <w:t xml:space="preserve">2. </w:t>
      </w:r>
      <w:r w:rsidR="00FF68D3" w:rsidRPr="00625FD7">
        <w:rPr>
          <w:color w:val="000000"/>
          <w:sz w:val="32"/>
        </w:rPr>
        <w:t>PROCEDURAL INVALIDITY AND INFORMATION ASYMMETRY</w:t>
      </w:r>
    </w:p>
    <w:p w14:paraId="498F0B16" w14:textId="77777777" w:rsidR="00FF68D3" w:rsidRPr="00625FD7" w:rsidRDefault="00FF68D3" w:rsidP="00FF68D3">
      <w:pPr>
        <w:jc w:val="both"/>
        <w:rPr>
          <w:sz w:val="23"/>
          <w:szCs w:val="23"/>
        </w:rPr>
      </w:pPr>
      <w:r w:rsidRPr="00625FD7">
        <w:rPr>
          <w:sz w:val="23"/>
          <w:szCs w:val="23"/>
        </w:rPr>
        <w:t>The determination of 19 December 2025 is procedurally flawed. Announcing an approval before conducting stakeholder consultation is a breach of natural justice. The Commission has failed to reconcile the $1.2 billion received from the 2018 partial</w:t>
      </w:r>
      <w:r w:rsidRPr="00625FD7">
        <w:rPr>
          <w:sz w:val="23"/>
          <w:szCs w:val="23"/>
          <w:lang w:val="en-GB"/>
        </w:rPr>
        <w:t xml:space="preserve"> privatisation</w:t>
      </w:r>
      <w:r w:rsidRPr="00625FD7">
        <w:rPr>
          <w:sz w:val="23"/>
          <w:szCs w:val="23"/>
        </w:rPr>
        <w:t>. Stakeholders have a right to know if these proceeds were reinvested into infrastructure or diverted to the government’s consolidated fund. If diverted, consumers are being asked to "re-pay" for capital needs already covered by the sale of their national asset.</w:t>
      </w:r>
    </w:p>
    <w:p w14:paraId="0FA91AF2" w14:textId="77777777" w:rsidR="00B9465F" w:rsidRPr="00625FD7" w:rsidRDefault="00B9465F" w:rsidP="00B9465F">
      <w:pPr>
        <w:jc w:val="both"/>
        <w:rPr>
          <w:sz w:val="23"/>
          <w:szCs w:val="23"/>
        </w:rPr>
      </w:pPr>
      <w:r w:rsidRPr="00625FD7">
        <w:rPr>
          <w:sz w:val="23"/>
          <w:szCs w:val="23"/>
        </w:rPr>
        <w:t xml:space="preserve">Although the Commission suspended implementation of the 19 December 2025 determination on 29–30 December 2025 and opened a 21-day consultation in response to public and stakeholder backlash, this retrospective and compressed process - conducted over the Christmas/New Year holiday period without prior disclosure of EFL's complete application - cannot remedy the fundamental defects of predetermination, apparent bias, or evidentiary gaps arising from announcing approval before any stakeholder input. Genuine consultation for a determination of this </w:t>
      </w:r>
      <w:r w:rsidRPr="00625FD7">
        <w:rPr>
          <w:sz w:val="23"/>
          <w:szCs w:val="23"/>
        </w:rPr>
        <w:lastRenderedPageBreak/>
        <w:t>magnitude requires meaningful opportunity for influence from the outset, not post-hoc validation of a decision already reached.</w:t>
      </w:r>
    </w:p>
    <w:p w14:paraId="657B621F" w14:textId="77777777" w:rsidR="00AA2148" w:rsidRPr="00625FD7" w:rsidRDefault="00B771E4">
      <w:pPr>
        <w:pStyle w:val="Heading2"/>
        <w:rPr>
          <w:sz w:val="28"/>
        </w:rPr>
      </w:pPr>
      <w:r w:rsidRPr="00625FD7">
        <w:rPr>
          <w:color w:val="000000"/>
          <w:sz w:val="28"/>
        </w:rPr>
        <w:t>2.1 Timeline of Events</w:t>
      </w:r>
    </w:p>
    <w:tbl>
      <w:tblPr>
        <w:tblStyle w:val="TableGrid"/>
        <w:tblW w:w="8647" w:type="dxa"/>
        <w:tblInd w:w="250" w:type="dxa"/>
        <w:tblLook w:val="04A0" w:firstRow="1" w:lastRow="0" w:firstColumn="1" w:lastColumn="0" w:noHBand="0" w:noVBand="1"/>
      </w:tblPr>
      <w:tblGrid>
        <w:gridCol w:w="1828"/>
        <w:gridCol w:w="3417"/>
        <w:gridCol w:w="3402"/>
      </w:tblGrid>
      <w:tr w:rsidR="00AA2148" w:rsidRPr="00625FD7" w14:paraId="5D0AFA9F" w14:textId="77777777" w:rsidTr="00044479">
        <w:tc>
          <w:tcPr>
            <w:tcW w:w="1828" w:type="dxa"/>
            <w:shd w:val="clear" w:color="auto" w:fill="D5E8F0"/>
          </w:tcPr>
          <w:p w14:paraId="49701F8B" w14:textId="77777777" w:rsidR="00AA2148" w:rsidRPr="00625FD7" w:rsidRDefault="00B771E4">
            <w:pPr>
              <w:rPr>
                <w:sz w:val="21"/>
                <w:szCs w:val="21"/>
              </w:rPr>
            </w:pPr>
            <w:r w:rsidRPr="00625FD7">
              <w:rPr>
                <w:b/>
                <w:sz w:val="21"/>
                <w:szCs w:val="21"/>
              </w:rPr>
              <w:t>Date</w:t>
            </w:r>
          </w:p>
        </w:tc>
        <w:tc>
          <w:tcPr>
            <w:tcW w:w="3417" w:type="dxa"/>
            <w:shd w:val="clear" w:color="auto" w:fill="D5E8F0"/>
          </w:tcPr>
          <w:p w14:paraId="6D7700FE" w14:textId="77777777" w:rsidR="00AA2148" w:rsidRPr="00625FD7" w:rsidRDefault="00B771E4">
            <w:pPr>
              <w:rPr>
                <w:sz w:val="21"/>
                <w:szCs w:val="21"/>
              </w:rPr>
            </w:pPr>
            <w:r w:rsidRPr="00625FD7">
              <w:rPr>
                <w:b/>
                <w:sz w:val="21"/>
                <w:szCs w:val="21"/>
              </w:rPr>
              <w:t>Event</w:t>
            </w:r>
          </w:p>
        </w:tc>
        <w:tc>
          <w:tcPr>
            <w:tcW w:w="3402" w:type="dxa"/>
            <w:shd w:val="clear" w:color="auto" w:fill="D5E8F0"/>
          </w:tcPr>
          <w:p w14:paraId="096E06E3" w14:textId="77777777" w:rsidR="00AA2148" w:rsidRPr="00625FD7" w:rsidRDefault="00B771E4">
            <w:pPr>
              <w:rPr>
                <w:sz w:val="21"/>
                <w:szCs w:val="21"/>
              </w:rPr>
            </w:pPr>
            <w:r w:rsidRPr="00625FD7">
              <w:rPr>
                <w:b/>
                <w:sz w:val="21"/>
                <w:szCs w:val="21"/>
              </w:rPr>
              <w:t>Procedural Implication</w:t>
            </w:r>
          </w:p>
        </w:tc>
      </w:tr>
      <w:tr w:rsidR="00AA2148" w:rsidRPr="00625FD7" w14:paraId="6CC6314B" w14:textId="77777777" w:rsidTr="00044479">
        <w:tc>
          <w:tcPr>
            <w:tcW w:w="1828" w:type="dxa"/>
          </w:tcPr>
          <w:p w14:paraId="093D7C88" w14:textId="77777777" w:rsidR="00AA2148" w:rsidRPr="00625FD7" w:rsidRDefault="00B771E4">
            <w:pPr>
              <w:rPr>
                <w:sz w:val="21"/>
                <w:szCs w:val="21"/>
              </w:rPr>
            </w:pPr>
            <w:r w:rsidRPr="00625FD7">
              <w:rPr>
                <w:sz w:val="21"/>
                <w:szCs w:val="21"/>
              </w:rPr>
              <w:t>May 2025</w:t>
            </w:r>
          </w:p>
        </w:tc>
        <w:tc>
          <w:tcPr>
            <w:tcW w:w="3417" w:type="dxa"/>
          </w:tcPr>
          <w:p w14:paraId="16DF2DEC" w14:textId="77777777" w:rsidR="00AA2148" w:rsidRPr="00625FD7" w:rsidRDefault="00B771E4">
            <w:pPr>
              <w:rPr>
                <w:sz w:val="21"/>
                <w:szCs w:val="21"/>
              </w:rPr>
            </w:pPr>
            <w:r w:rsidRPr="00625FD7">
              <w:rPr>
                <w:sz w:val="21"/>
                <w:szCs w:val="21"/>
              </w:rPr>
              <w:t>EFL submits revised tariff application</w:t>
            </w:r>
          </w:p>
        </w:tc>
        <w:tc>
          <w:tcPr>
            <w:tcW w:w="3402" w:type="dxa"/>
          </w:tcPr>
          <w:p w14:paraId="0AF17946" w14:textId="77777777" w:rsidR="00AA2148" w:rsidRPr="00625FD7" w:rsidRDefault="00B771E4">
            <w:pPr>
              <w:rPr>
                <w:sz w:val="21"/>
                <w:szCs w:val="21"/>
              </w:rPr>
            </w:pPr>
            <w:r w:rsidRPr="00625FD7">
              <w:rPr>
                <w:sz w:val="21"/>
                <w:szCs w:val="21"/>
              </w:rPr>
              <w:t>Application not published; stakeholders have no access</w:t>
            </w:r>
          </w:p>
        </w:tc>
      </w:tr>
      <w:tr w:rsidR="00AA2148" w:rsidRPr="00625FD7" w14:paraId="64664CF9" w14:textId="77777777" w:rsidTr="00044479">
        <w:tc>
          <w:tcPr>
            <w:tcW w:w="1828" w:type="dxa"/>
          </w:tcPr>
          <w:p w14:paraId="0A5DF34D" w14:textId="77777777" w:rsidR="00AA2148" w:rsidRPr="00625FD7" w:rsidRDefault="00B771E4">
            <w:pPr>
              <w:rPr>
                <w:sz w:val="21"/>
                <w:szCs w:val="21"/>
              </w:rPr>
            </w:pPr>
            <w:r w:rsidRPr="00625FD7">
              <w:rPr>
                <w:sz w:val="21"/>
                <w:szCs w:val="21"/>
              </w:rPr>
              <w:t>May-Dec 2025</w:t>
            </w:r>
          </w:p>
        </w:tc>
        <w:tc>
          <w:tcPr>
            <w:tcW w:w="3417" w:type="dxa"/>
          </w:tcPr>
          <w:p w14:paraId="514B778F" w14:textId="77777777" w:rsidR="00AA2148" w:rsidRPr="00625FD7" w:rsidRDefault="00B771E4">
            <w:pPr>
              <w:rPr>
                <w:sz w:val="21"/>
                <w:szCs w:val="21"/>
              </w:rPr>
            </w:pPr>
            <w:r w:rsidRPr="00625FD7">
              <w:rPr>
                <w:sz w:val="21"/>
                <w:szCs w:val="21"/>
              </w:rPr>
              <w:t>FCCC conducts internal review (7 months)</w:t>
            </w:r>
          </w:p>
        </w:tc>
        <w:tc>
          <w:tcPr>
            <w:tcW w:w="3402" w:type="dxa"/>
          </w:tcPr>
          <w:p w14:paraId="573697B1" w14:textId="77777777" w:rsidR="00AA2148" w:rsidRPr="00625FD7" w:rsidRDefault="00B771E4">
            <w:pPr>
              <w:rPr>
                <w:sz w:val="21"/>
                <w:szCs w:val="21"/>
              </w:rPr>
            </w:pPr>
            <w:r w:rsidRPr="00625FD7">
              <w:rPr>
                <w:sz w:val="21"/>
                <w:szCs w:val="21"/>
              </w:rPr>
              <w:t>No consultation during entire review period</w:t>
            </w:r>
          </w:p>
        </w:tc>
      </w:tr>
      <w:tr w:rsidR="00AA2148" w:rsidRPr="00625FD7" w14:paraId="399E4D0F" w14:textId="77777777" w:rsidTr="00044479">
        <w:tc>
          <w:tcPr>
            <w:tcW w:w="1828" w:type="dxa"/>
          </w:tcPr>
          <w:p w14:paraId="43A3C6F8" w14:textId="77777777" w:rsidR="00AA2148" w:rsidRPr="00625FD7" w:rsidRDefault="00B771E4">
            <w:pPr>
              <w:rPr>
                <w:sz w:val="21"/>
                <w:szCs w:val="21"/>
              </w:rPr>
            </w:pPr>
            <w:r w:rsidRPr="00625FD7">
              <w:rPr>
                <w:sz w:val="21"/>
                <w:szCs w:val="21"/>
              </w:rPr>
              <w:t>19 Dec 2025</w:t>
            </w:r>
          </w:p>
        </w:tc>
        <w:tc>
          <w:tcPr>
            <w:tcW w:w="3417" w:type="dxa"/>
          </w:tcPr>
          <w:p w14:paraId="7D15021D" w14:textId="77777777" w:rsidR="00AA2148" w:rsidRPr="00625FD7" w:rsidRDefault="00B771E4">
            <w:pPr>
              <w:rPr>
                <w:sz w:val="21"/>
                <w:szCs w:val="21"/>
              </w:rPr>
            </w:pPr>
            <w:r w:rsidRPr="00625FD7">
              <w:rPr>
                <w:sz w:val="21"/>
                <w:szCs w:val="21"/>
              </w:rPr>
              <w:t>FCCC announces approval effective 1 Jan 2026</w:t>
            </w:r>
          </w:p>
        </w:tc>
        <w:tc>
          <w:tcPr>
            <w:tcW w:w="3402" w:type="dxa"/>
          </w:tcPr>
          <w:p w14:paraId="29FF1390" w14:textId="77777777" w:rsidR="00AA2148" w:rsidRPr="00625FD7" w:rsidRDefault="00B771E4">
            <w:pPr>
              <w:rPr>
                <w:sz w:val="21"/>
                <w:szCs w:val="21"/>
              </w:rPr>
            </w:pPr>
            <w:r w:rsidRPr="00625FD7">
              <w:rPr>
                <w:sz w:val="21"/>
                <w:szCs w:val="21"/>
              </w:rPr>
              <w:t>Determination made without prior consultation</w:t>
            </w:r>
          </w:p>
        </w:tc>
      </w:tr>
      <w:tr w:rsidR="00AA2148" w:rsidRPr="00625FD7" w14:paraId="735FA8AF" w14:textId="77777777" w:rsidTr="00044479">
        <w:tc>
          <w:tcPr>
            <w:tcW w:w="1828" w:type="dxa"/>
          </w:tcPr>
          <w:p w14:paraId="08FF18D0" w14:textId="77777777" w:rsidR="00AA2148" w:rsidRPr="00625FD7" w:rsidRDefault="00B771E4">
            <w:pPr>
              <w:rPr>
                <w:sz w:val="21"/>
                <w:szCs w:val="21"/>
              </w:rPr>
            </w:pPr>
            <w:r w:rsidRPr="00625FD7">
              <w:rPr>
                <w:sz w:val="21"/>
                <w:szCs w:val="21"/>
              </w:rPr>
              <w:t>29-30 Dec 2025</w:t>
            </w:r>
          </w:p>
        </w:tc>
        <w:tc>
          <w:tcPr>
            <w:tcW w:w="3417" w:type="dxa"/>
          </w:tcPr>
          <w:p w14:paraId="3D67874E" w14:textId="77777777" w:rsidR="00AA2148" w:rsidRPr="00625FD7" w:rsidRDefault="00B771E4">
            <w:pPr>
              <w:rPr>
                <w:sz w:val="21"/>
                <w:szCs w:val="21"/>
              </w:rPr>
            </w:pPr>
            <w:r w:rsidRPr="00625FD7">
              <w:rPr>
                <w:sz w:val="21"/>
                <w:szCs w:val="21"/>
              </w:rPr>
              <w:t>Public and government backlash; suspension</w:t>
            </w:r>
          </w:p>
        </w:tc>
        <w:tc>
          <w:tcPr>
            <w:tcW w:w="3402" w:type="dxa"/>
          </w:tcPr>
          <w:p w14:paraId="47BE8777" w14:textId="77777777" w:rsidR="00AA2148" w:rsidRPr="00625FD7" w:rsidRDefault="00B771E4">
            <w:pPr>
              <w:rPr>
                <w:sz w:val="21"/>
                <w:szCs w:val="21"/>
              </w:rPr>
            </w:pPr>
            <w:r w:rsidRPr="00625FD7">
              <w:rPr>
                <w:sz w:val="21"/>
                <w:szCs w:val="21"/>
              </w:rPr>
              <w:t>Determination suspended only after public outcry</w:t>
            </w:r>
          </w:p>
        </w:tc>
      </w:tr>
      <w:tr w:rsidR="00AA2148" w:rsidRPr="00625FD7" w14:paraId="2B621B92" w14:textId="77777777" w:rsidTr="00044479">
        <w:tc>
          <w:tcPr>
            <w:tcW w:w="1828" w:type="dxa"/>
          </w:tcPr>
          <w:p w14:paraId="37D73437" w14:textId="77777777" w:rsidR="00AA2148" w:rsidRPr="00625FD7" w:rsidRDefault="00B771E4">
            <w:pPr>
              <w:rPr>
                <w:sz w:val="21"/>
                <w:szCs w:val="21"/>
              </w:rPr>
            </w:pPr>
            <w:r w:rsidRPr="00625FD7">
              <w:rPr>
                <w:sz w:val="21"/>
                <w:szCs w:val="21"/>
              </w:rPr>
              <w:t>30 Dec 2025</w:t>
            </w:r>
          </w:p>
        </w:tc>
        <w:tc>
          <w:tcPr>
            <w:tcW w:w="3417" w:type="dxa"/>
          </w:tcPr>
          <w:p w14:paraId="55FAF886" w14:textId="77777777" w:rsidR="00AA2148" w:rsidRPr="00625FD7" w:rsidRDefault="00B771E4">
            <w:pPr>
              <w:rPr>
                <w:sz w:val="21"/>
                <w:szCs w:val="21"/>
              </w:rPr>
            </w:pPr>
            <w:r w:rsidRPr="00625FD7">
              <w:rPr>
                <w:sz w:val="21"/>
                <w:szCs w:val="21"/>
              </w:rPr>
              <w:t>FCCC opens 21-day consultation</w:t>
            </w:r>
          </w:p>
        </w:tc>
        <w:tc>
          <w:tcPr>
            <w:tcW w:w="3402" w:type="dxa"/>
          </w:tcPr>
          <w:p w14:paraId="181CFEA7" w14:textId="77777777" w:rsidR="00AA2148" w:rsidRPr="00625FD7" w:rsidRDefault="00B771E4">
            <w:pPr>
              <w:rPr>
                <w:sz w:val="21"/>
                <w:szCs w:val="21"/>
              </w:rPr>
            </w:pPr>
            <w:r w:rsidRPr="00625FD7">
              <w:rPr>
                <w:sz w:val="21"/>
                <w:szCs w:val="21"/>
              </w:rPr>
              <w:t>Consultation begins 11 days after determination</w:t>
            </w:r>
          </w:p>
        </w:tc>
      </w:tr>
    </w:tbl>
    <w:p w14:paraId="6DC86DC7" w14:textId="77777777" w:rsidR="00AA2148" w:rsidRDefault="00AA2148" w:rsidP="00FF68D3">
      <w:pPr>
        <w:spacing w:after="0"/>
      </w:pPr>
    </w:p>
    <w:p w14:paraId="3D285EE8" w14:textId="77777777" w:rsidR="00AA2148" w:rsidRPr="00625FD7" w:rsidRDefault="00B771E4" w:rsidP="00FF68D3">
      <w:pPr>
        <w:jc w:val="both"/>
        <w:rPr>
          <w:sz w:val="23"/>
          <w:szCs w:val="23"/>
        </w:rPr>
      </w:pPr>
      <w:r w:rsidRPr="00625FD7">
        <w:rPr>
          <w:sz w:val="23"/>
          <w:szCs w:val="23"/>
        </w:rPr>
        <w:t>The Commission had seven months to conduct consultation between receiving EFL's application in May 2025 and announcing its determination in December 2025. It chose not to do so. This was not an oversight caused by time pressure</w:t>
      </w:r>
      <w:r w:rsidR="0065595D" w:rsidRPr="00625FD7">
        <w:rPr>
          <w:sz w:val="23"/>
          <w:szCs w:val="23"/>
        </w:rPr>
        <w:t xml:space="preserve"> - </w:t>
      </w:r>
      <w:r w:rsidRPr="00625FD7">
        <w:rPr>
          <w:sz w:val="23"/>
          <w:szCs w:val="23"/>
        </w:rPr>
        <w:t>it was a deliberate process design that excluded stakeholders until after the decision was made.</w:t>
      </w:r>
    </w:p>
    <w:p w14:paraId="50CDCE9C" w14:textId="77777777" w:rsidR="00AA2148" w:rsidRPr="00625FD7" w:rsidRDefault="00B771E4" w:rsidP="007B08CE">
      <w:pPr>
        <w:pStyle w:val="Heading2"/>
        <w:spacing w:after="240"/>
        <w:rPr>
          <w:sz w:val="28"/>
        </w:rPr>
      </w:pPr>
      <w:r w:rsidRPr="00625FD7">
        <w:rPr>
          <w:color w:val="000000"/>
          <w:sz w:val="28"/>
        </w:rPr>
        <w:t>2.2 Consultation Quality Concerns</w:t>
      </w:r>
    </w:p>
    <w:p w14:paraId="027C18D5" w14:textId="77777777" w:rsidR="00AA2148" w:rsidRPr="00625FD7" w:rsidRDefault="00B771E4" w:rsidP="00FF68D3">
      <w:pPr>
        <w:jc w:val="both"/>
        <w:rPr>
          <w:sz w:val="23"/>
          <w:szCs w:val="23"/>
        </w:rPr>
      </w:pPr>
      <w:r w:rsidRPr="00625FD7">
        <w:rPr>
          <w:sz w:val="23"/>
          <w:szCs w:val="23"/>
        </w:rPr>
        <w:t>Beyond procedural timing, the quality of consultations conducted has been questioned. Public statements indicate that consultation sessions were characterized as information provision rather than genuine engagement. One participant at a rural session described being told that tariffs would increase rather than having views genuinely sought. A senior government official has publicly stated that the lack of proper consultations was 'not acceptable.' A consultation process where people are told what will happen rather than having their views genuinely heard is not consultation</w:t>
      </w:r>
      <w:r w:rsidR="0065595D" w:rsidRPr="00625FD7">
        <w:rPr>
          <w:sz w:val="23"/>
          <w:szCs w:val="23"/>
        </w:rPr>
        <w:t xml:space="preserve"> - </w:t>
      </w:r>
      <w:r w:rsidRPr="00625FD7">
        <w:rPr>
          <w:sz w:val="23"/>
          <w:szCs w:val="23"/>
        </w:rPr>
        <w:t>it is announcement.</w:t>
      </w:r>
    </w:p>
    <w:p w14:paraId="6DD154E7" w14:textId="77777777" w:rsidR="0065595D" w:rsidRPr="00625FD7" w:rsidRDefault="0065595D" w:rsidP="0065595D">
      <w:pPr>
        <w:jc w:val="both"/>
        <w:rPr>
          <w:rFonts w:asciiTheme="majorHAnsi" w:eastAsiaTheme="majorEastAsia" w:hAnsiTheme="majorHAnsi" w:cstheme="majorBidi"/>
          <w:b/>
          <w:bCs/>
          <w:color w:val="000000"/>
          <w:sz w:val="28"/>
          <w:szCs w:val="28"/>
        </w:rPr>
      </w:pPr>
      <w:r w:rsidRPr="00625FD7">
        <w:rPr>
          <w:rFonts w:asciiTheme="majorHAnsi" w:eastAsiaTheme="majorEastAsia" w:hAnsiTheme="majorHAnsi" w:cstheme="majorBidi"/>
          <w:b/>
          <w:bCs/>
          <w:color w:val="000000"/>
          <w:sz w:val="28"/>
          <w:szCs w:val="28"/>
        </w:rPr>
        <w:t>2.3 Non-Disclosure of Critical Supporting Evidence</w:t>
      </w:r>
    </w:p>
    <w:p w14:paraId="12B32499" w14:textId="77777777" w:rsidR="00AA2148" w:rsidRPr="00625FD7" w:rsidRDefault="00B771E4" w:rsidP="000A3860">
      <w:pPr>
        <w:jc w:val="both"/>
        <w:rPr>
          <w:sz w:val="23"/>
          <w:szCs w:val="23"/>
        </w:rPr>
      </w:pPr>
      <w:r w:rsidRPr="00625FD7">
        <w:rPr>
          <w:sz w:val="23"/>
          <w:szCs w:val="23"/>
        </w:rPr>
        <w:t xml:space="preserve">The Commission has not published EFL's complete tariff application. Stakeholders do not have access to EFL's demand forecasts, cost estimates, financing assumptions, generation expansion plans, or the technical analyses that purportedly support the FJD 2.21 billion revenue requirement. This </w:t>
      </w:r>
      <w:r w:rsidR="00463F38">
        <w:rPr>
          <w:sz w:val="23"/>
          <w:szCs w:val="23"/>
        </w:rPr>
        <w:t>lack of disclosure</w:t>
      </w:r>
      <w:r w:rsidRPr="00625FD7">
        <w:rPr>
          <w:sz w:val="23"/>
          <w:szCs w:val="23"/>
        </w:rPr>
        <w:t xml:space="preserve"> prevents stakeholders from assessing whether costs are efficient, whether alternatives exist, or whether the Commission's reasoning is sound.</w:t>
      </w:r>
    </w:p>
    <w:p w14:paraId="7D8FC3BE" w14:textId="77777777" w:rsidR="00AA2148" w:rsidRPr="00625FD7" w:rsidRDefault="00B771E4" w:rsidP="000A3860">
      <w:pPr>
        <w:jc w:val="both"/>
        <w:rPr>
          <w:sz w:val="23"/>
          <w:szCs w:val="23"/>
        </w:rPr>
      </w:pPr>
      <w:r w:rsidRPr="00625FD7">
        <w:rPr>
          <w:sz w:val="23"/>
          <w:szCs w:val="23"/>
        </w:rPr>
        <w:t>A detailed submission from a major commercial customer highlights the inadequacy of disclosed information:</w:t>
      </w:r>
    </w:p>
    <w:p w14:paraId="0F5538C7" w14:textId="77777777" w:rsidR="00AA2148" w:rsidRPr="00625FD7" w:rsidRDefault="00B771E4" w:rsidP="000A3860">
      <w:pPr>
        <w:pStyle w:val="ListBullet"/>
        <w:jc w:val="both"/>
        <w:rPr>
          <w:sz w:val="23"/>
          <w:szCs w:val="23"/>
        </w:rPr>
      </w:pPr>
      <w:r w:rsidRPr="00625FD7">
        <w:rPr>
          <w:sz w:val="23"/>
          <w:szCs w:val="23"/>
        </w:rPr>
        <w:lastRenderedPageBreak/>
        <w:t xml:space="preserve">EFL's gearing ratio of 8-26% is </w:t>
      </w:r>
      <w:r w:rsidRPr="007B08CE">
        <w:rPr>
          <w:b/>
          <w:sz w:val="23"/>
          <w:szCs w:val="23"/>
        </w:rPr>
        <w:t>'extremely low'</w:t>
      </w:r>
      <w:r w:rsidRPr="00625FD7">
        <w:rPr>
          <w:sz w:val="23"/>
          <w:szCs w:val="23"/>
        </w:rPr>
        <w:t xml:space="preserve"> compared to the industry norm of 60-100%</w:t>
      </w:r>
      <w:r w:rsidR="00020067">
        <w:rPr>
          <w:sz w:val="23"/>
          <w:szCs w:val="23"/>
        </w:rPr>
        <w:t>.</w:t>
      </w:r>
    </w:p>
    <w:p w14:paraId="536FDB5F" w14:textId="77777777" w:rsidR="00AA2148" w:rsidRPr="00625FD7" w:rsidRDefault="00B771E4" w:rsidP="000A3860">
      <w:pPr>
        <w:pStyle w:val="ListBullet"/>
        <w:jc w:val="both"/>
        <w:rPr>
          <w:sz w:val="23"/>
          <w:szCs w:val="23"/>
        </w:rPr>
      </w:pPr>
      <w:r w:rsidRPr="00625FD7">
        <w:rPr>
          <w:sz w:val="23"/>
          <w:szCs w:val="23"/>
        </w:rPr>
        <w:t xml:space="preserve">Investments </w:t>
      </w:r>
      <w:r w:rsidRPr="007B08CE">
        <w:rPr>
          <w:b/>
          <w:sz w:val="23"/>
          <w:szCs w:val="23"/>
        </w:rPr>
        <w:t>'can and should be easily funded by the company from either shareholder contributions or borrowings'</w:t>
      </w:r>
      <w:r w:rsidR="00020067">
        <w:rPr>
          <w:sz w:val="23"/>
          <w:szCs w:val="23"/>
        </w:rPr>
        <w:t>.</w:t>
      </w:r>
    </w:p>
    <w:p w14:paraId="053FA461" w14:textId="77777777" w:rsidR="00AA2148" w:rsidRPr="00625FD7" w:rsidRDefault="00B771E4" w:rsidP="000A3860">
      <w:pPr>
        <w:pStyle w:val="ListBullet"/>
        <w:jc w:val="both"/>
        <w:rPr>
          <w:sz w:val="23"/>
          <w:szCs w:val="23"/>
        </w:rPr>
      </w:pPr>
      <w:r w:rsidRPr="00625FD7">
        <w:rPr>
          <w:sz w:val="23"/>
          <w:szCs w:val="23"/>
        </w:rPr>
        <w:t>EFL made no significant capital investments from 2019-2024 despite having financial capacity to do so</w:t>
      </w:r>
      <w:r w:rsidR="00020067">
        <w:rPr>
          <w:sz w:val="23"/>
          <w:szCs w:val="23"/>
        </w:rPr>
        <w:t>.</w:t>
      </w:r>
    </w:p>
    <w:p w14:paraId="7591E10C" w14:textId="77777777" w:rsidR="00AA2148" w:rsidRPr="00625FD7" w:rsidRDefault="00B771E4" w:rsidP="000A3860">
      <w:pPr>
        <w:pStyle w:val="ListBullet"/>
        <w:jc w:val="both"/>
        <w:rPr>
          <w:sz w:val="23"/>
          <w:szCs w:val="23"/>
        </w:rPr>
      </w:pPr>
      <w:r w:rsidRPr="00625FD7">
        <w:rPr>
          <w:sz w:val="23"/>
          <w:szCs w:val="23"/>
        </w:rPr>
        <w:t>Published performance indicators are 'meaningless without the ability to compare these to the targets that the company aspires to'</w:t>
      </w:r>
      <w:r w:rsidR="00020067">
        <w:rPr>
          <w:sz w:val="23"/>
          <w:szCs w:val="23"/>
        </w:rPr>
        <w:t>.</w:t>
      </w:r>
    </w:p>
    <w:tbl>
      <w:tblPr>
        <w:tblW w:w="0" w:type="auto"/>
        <w:jc w:val="center"/>
        <w:tblLook w:val="04A0" w:firstRow="1" w:lastRow="0" w:firstColumn="1" w:lastColumn="0" w:noHBand="0" w:noVBand="1"/>
      </w:tblPr>
      <w:tblGrid>
        <w:gridCol w:w="8640"/>
      </w:tblGrid>
      <w:tr w:rsidR="00AA2148" w14:paraId="0C5B981F" w14:textId="77777777" w:rsidTr="000A3860">
        <w:trPr>
          <w:jc w:val="center"/>
        </w:trPr>
        <w:tc>
          <w:tcPr>
            <w:tcW w:w="8640" w:type="dxa"/>
            <w:shd w:val="clear" w:color="auto" w:fill="E8F4F8"/>
          </w:tcPr>
          <w:p w14:paraId="787371F5" w14:textId="77777777" w:rsidR="00AA2148" w:rsidRPr="00625FD7" w:rsidRDefault="00B771E4">
            <w:pPr>
              <w:rPr>
                <w:sz w:val="23"/>
                <w:szCs w:val="23"/>
              </w:rPr>
            </w:pPr>
            <w:r w:rsidRPr="00625FD7">
              <w:rPr>
                <w:b/>
                <w:sz w:val="23"/>
                <w:szCs w:val="23"/>
              </w:rPr>
              <w:t>Key Points – Section 2:</w:t>
            </w:r>
          </w:p>
          <w:p w14:paraId="7FE7B3B8" w14:textId="77777777" w:rsidR="00AA2148" w:rsidRPr="00625FD7" w:rsidRDefault="00B771E4" w:rsidP="007B08CE">
            <w:pPr>
              <w:pStyle w:val="ListBullet"/>
              <w:spacing w:line="300" w:lineRule="auto"/>
              <w:ind w:left="357" w:hanging="357"/>
              <w:jc w:val="both"/>
              <w:rPr>
                <w:sz w:val="21"/>
                <w:szCs w:val="21"/>
              </w:rPr>
            </w:pPr>
            <w:r w:rsidRPr="00625FD7">
              <w:rPr>
                <w:sz w:val="21"/>
                <w:szCs w:val="21"/>
              </w:rPr>
              <w:t>Seven months elapsed between EFL's application (May 2025) and the determination (December 2025) with zero stakeholder consultation during this period.</w:t>
            </w:r>
          </w:p>
          <w:p w14:paraId="76E69373" w14:textId="77777777" w:rsidR="00AA2148" w:rsidRPr="00625FD7" w:rsidRDefault="00B771E4" w:rsidP="007B08CE">
            <w:pPr>
              <w:pStyle w:val="ListBullet"/>
              <w:spacing w:line="300" w:lineRule="auto"/>
              <w:ind w:left="357" w:hanging="357"/>
              <w:jc w:val="both"/>
              <w:rPr>
                <w:sz w:val="21"/>
                <w:szCs w:val="21"/>
              </w:rPr>
            </w:pPr>
            <w:r w:rsidRPr="00625FD7">
              <w:rPr>
                <w:sz w:val="21"/>
                <w:szCs w:val="21"/>
              </w:rPr>
              <w:t xml:space="preserve">A 21-day consultation period over the Christmas/New Year holiday, after public announcement, is manifestly inadequate for </w:t>
            </w:r>
            <w:proofErr w:type="gramStart"/>
            <w:r w:rsidRPr="00625FD7">
              <w:rPr>
                <w:sz w:val="21"/>
                <w:szCs w:val="21"/>
              </w:rPr>
              <w:t>a</w:t>
            </w:r>
            <w:proofErr w:type="gramEnd"/>
            <w:r w:rsidRPr="00625FD7">
              <w:rPr>
                <w:sz w:val="21"/>
                <w:szCs w:val="21"/>
              </w:rPr>
              <w:t xml:space="preserve"> FJD 2.21 billion determination.</w:t>
            </w:r>
          </w:p>
          <w:p w14:paraId="06B39B7E" w14:textId="77777777" w:rsidR="001E0B45" w:rsidRPr="00625FD7" w:rsidRDefault="001E0B45" w:rsidP="007B08CE">
            <w:pPr>
              <w:pStyle w:val="ListBullet"/>
              <w:spacing w:line="300" w:lineRule="auto"/>
              <w:ind w:left="357" w:hanging="357"/>
              <w:jc w:val="both"/>
              <w:rPr>
                <w:sz w:val="21"/>
                <w:szCs w:val="21"/>
              </w:rPr>
            </w:pPr>
            <w:r w:rsidRPr="00625FD7">
              <w:rPr>
                <w:sz w:val="21"/>
                <w:szCs w:val="21"/>
              </w:rPr>
              <w:t>Post-hoc consultation cannot cure the appearance of predetermination created by announcing approval on 19 December 2025 before stakeholder input.</w:t>
            </w:r>
          </w:p>
          <w:p w14:paraId="3360D5DD" w14:textId="77777777" w:rsidR="001E0B45" w:rsidRPr="00625FD7" w:rsidRDefault="001E0B45" w:rsidP="007B08CE">
            <w:pPr>
              <w:pStyle w:val="ListBullet"/>
              <w:spacing w:line="300" w:lineRule="auto"/>
              <w:ind w:left="357" w:hanging="357"/>
              <w:jc w:val="both"/>
              <w:rPr>
                <w:sz w:val="21"/>
                <w:szCs w:val="21"/>
              </w:rPr>
            </w:pPr>
            <w:r w:rsidRPr="00625FD7">
              <w:rPr>
                <w:sz w:val="21"/>
                <w:szCs w:val="21"/>
              </w:rPr>
              <w:t xml:space="preserve">Lack of full disclosure, including the unreconciled $1.2 billion </w:t>
            </w:r>
            <w:r w:rsidRPr="00625FD7">
              <w:rPr>
                <w:sz w:val="21"/>
                <w:szCs w:val="21"/>
                <w:lang w:val="en-GB"/>
              </w:rPr>
              <w:t>privatisation</w:t>
            </w:r>
            <w:r w:rsidRPr="00625FD7">
              <w:rPr>
                <w:sz w:val="21"/>
                <w:szCs w:val="21"/>
              </w:rPr>
              <w:t xml:space="preserve"> proceeds, prevents meaningful assessment of whether consumer extraction is justified.</w:t>
            </w:r>
          </w:p>
          <w:p w14:paraId="24F955C1" w14:textId="77777777" w:rsidR="00AA2148" w:rsidRDefault="00B771E4" w:rsidP="007B08CE">
            <w:pPr>
              <w:pStyle w:val="ListBullet"/>
              <w:spacing w:line="300" w:lineRule="auto"/>
              <w:ind w:left="357" w:hanging="357"/>
              <w:jc w:val="both"/>
            </w:pPr>
            <w:r w:rsidRPr="00625FD7">
              <w:rPr>
                <w:sz w:val="21"/>
                <w:szCs w:val="21"/>
              </w:rPr>
              <w:t>Predetermination appearance cannot be cured by retrospective consultation</w:t>
            </w:r>
            <w:r w:rsidR="000A3860" w:rsidRPr="00625FD7">
              <w:rPr>
                <w:sz w:val="21"/>
                <w:szCs w:val="21"/>
              </w:rPr>
              <w:t xml:space="preserve"> - </w:t>
            </w:r>
            <w:r w:rsidRPr="00625FD7">
              <w:rPr>
                <w:sz w:val="21"/>
                <w:szCs w:val="21"/>
              </w:rPr>
              <w:t>the Commission's institutional credibility as an independent regulator has been compromised.</w:t>
            </w:r>
          </w:p>
        </w:tc>
      </w:tr>
    </w:tbl>
    <w:p w14:paraId="30E789EC" w14:textId="77777777" w:rsidR="00AA2148" w:rsidRPr="00625FD7" w:rsidRDefault="00B771E4">
      <w:pPr>
        <w:pStyle w:val="Heading1"/>
        <w:rPr>
          <w:sz w:val="32"/>
        </w:rPr>
      </w:pPr>
      <w:r w:rsidRPr="00625FD7">
        <w:rPr>
          <w:color w:val="000000"/>
          <w:sz w:val="32"/>
        </w:rPr>
        <w:t>3. FINANCIAL CAPACITY: SHAREHOLDER RESOURCES NOT EXHAUSTED</w:t>
      </w:r>
    </w:p>
    <w:p w14:paraId="3DA2E01A" w14:textId="77777777" w:rsidR="00AA2148" w:rsidRPr="00625FD7" w:rsidRDefault="00B771E4" w:rsidP="000A3860">
      <w:pPr>
        <w:jc w:val="both"/>
        <w:rPr>
          <w:sz w:val="23"/>
          <w:szCs w:val="23"/>
        </w:rPr>
      </w:pPr>
      <w:r w:rsidRPr="00625FD7">
        <w:rPr>
          <w:sz w:val="23"/>
          <w:szCs w:val="23"/>
        </w:rPr>
        <w:t>The fundamental principle of utility regulation is that consumers should not bear costs that shareholders can and should absorb. This principle exists because regulated monopolies have captive customers who cannot choose alternative suppliers. The regulatory framework protects these captive customers by ensuring that shareholder resources are exhausted before consumer extraction is permitted.</w:t>
      </w:r>
    </w:p>
    <w:p w14:paraId="2C7C1638" w14:textId="77777777" w:rsidR="00AA2148" w:rsidRPr="00625FD7" w:rsidRDefault="00B771E4">
      <w:pPr>
        <w:pStyle w:val="Heading2"/>
        <w:rPr>
          <w:sz w:val="28"/>
        </w:rPr>
      </w:pPr>
      <w:r w:rsidRPr="00625FD7">
        <w:rPr>
          <w:color w:val="000000"/>
          <w:sz w:val="28"/>
        </w:rPr>
        <w:t>3.1 Dividend History: Sustained Shareholder Returns During Critical Investment Period</w:t>
      </w:r>
    </w:p>
    <w:p w14:paraId="2F6D34D7" w14:textId="77777777" w:rsidR="00AA2148" w:rsidRDefault="00B771E4" w:rsidP="000A3860">
      <w:pPr>
        <w:jc w:val="both"/>
        <w:rPr>
          <w:sz w:val="23"/>
          <w:szCs w:val="23"/>
        </w:rPr>
      </w:pPr>
      <w:r w:rsidRPr="00625FD7">
        <w:rPr>
          <w:sz w:val="23"/>
          <w:szCs w:val="23"/>
        </w:rPr>
        <w:t>EFL's dividend history demonstrates that shareholders have received substantial returns during the very period when accelerated investment was allegedly required. The following table shows the pattern of distributions since corporatization and the 44% share sale in 2018:</w:t>
      </w:r>
    </w:p>
    <w:p w14:paraId="0B90F56C" w14:textId="77777777" w:rsidR="00C260BE" w:rsidRDefault="00C260BE" w:rsidP="000A3860">
      <w:pPr>
        <w:jc w:val="both"/>
        <w:rPr>
          <w:sz w:val="23"/>
          <w:szCs w:val="23"/>
        </w:rPr>
      </w:pPr>
    </w:p>
    <w:p w14:paraId="5323F77E" w14:textId="77777777" w:rsidR="00C260BE" w:rsidRDefault="00C260BE" w:rsidP="000A3860">
      <w:pPr>
        <w:jc w:val="both"/>
        <w:rPr>
          <w:sz w:val="23"/>
          <w:szCs w:val="23"/>
        </w:rPr>
      </w:pPr>
    </w:p>
    <w:p w14:paraId="25DA6CA6" w14:textId="77777777" w:rsidR="00625FD7" w:rsidRPr="00625FD7" w:rsidRDefault="00625FD7" w:rsidP="00C260BE">
      <w:pPr>
        <w:spacing w:after="0"/>
        <w:jc w:val="both"/>
        <w:rPr>
          <w:sz w:val="23"/>
          <w:szCs w:val="23"/>
        </w:rPr>
      </w:pPr>
    </w:p>
    <w:tbl>
      <w:tblPr>
        <w:tblStyle w:val="TableGrid"/>
        <w:tblW w:w="8458" w:type="dxa"/>
        <w:tblInd w:w="392" w:type="dxa"/>
        <w:tblLook w:val="04A0" w:firstRow="1" w:lastRow="0" w:firstColumn="1" w:lastColumn="0" w:noHBand="0" w:noVBand="1"/>
      </w:tblPr>
      <w:tblGrid>
        <w:gridCol w:w="850"/>
        <w:gridCol w:w="1560"/>
        <w:gridCol w:w="1984"/>
        <w:gridCol w:w="4064"/>
      </w:tblGrid>
      <w:tr w:rsidR="00AA2148" w:rsidRPr="00625FD7" w14:paraId="364C4DCC" w14:textId="77777777" w:rsidTr="00E66E09">
        <w:tc>
          <w:tcPr>
            <w:tcW w:w="850" w:type="dxa"/>
            <w:shd w:val="clear" w:color="auto" w:fill="D5E8F0"/>
          </w:tcPr>
          <w:p w14:paraId="4786E7E8" w14:textId="77777777" w:rsidR="00AA2148" w:rsidRPr="00625FD7" w:rsidRDefault="00B771E4" w:rsidP="00C260BE">
            <w:pPr>
              <w:rPr>
                <w:sz w:val="21"/>
                <w:szCs w:val="21"/>
              </w:rPr>
            </w:pPr>
            <w:r w:rsidRPr="00625FD7">
              <w:rPr>
                <w:b/>
                <w:sz w:val="21"/>
                <w:szCs w:val="21"/>
              </w:rPr>
              <w:lastRenderedPageBreak/>
              <w:t>Year</w:t>
            </w:r>
          </w:p>
        </w:tc>
        <w:tc>
          <w:tcPr>
            <w:tcW w:w="1560" w:type="dxa"/>
            <w:shd w:val="clear" w:color="auto" w:fill="D5E8F0"/>
          </w:tcPr>
          <w:p w14:paraId="1D7B93B0" w14:textId="77777777" w:rsidR="00AA2148" w:rsidRPr="00625FD7" w:rsidRDefault="00B771E4" w:rsidP="000A3860">
            <w:pPr>
              <w:jc w:val="center"/>
              <w:rPr>
                <w:sz w:val="21"/>
                <w:szCs w:val="21"/>
              </w:rPr>
            </w:pPr>
            <w:r w:rsidRPr="00625FD7">
              <w:rPr>
                <w:b/>
                <w:sz w:val="21"/>
                <w:szCs w:val="21"/>
              </w:rPr>
              <w:t>NPAT (FJD M)</w:t>
            </w:r>
          </w:p>
        </w:tc>
        <w:tc>
          <w:tcPr>
            <w:tcW w:w="1984" w:type="dxa"/>
            <w:shd w:val="clear" w:color="auto" w:fill="D5E8F0"/>
          </w:tcPr>
          <w:p w14:paraId="28DD89B3" w14:textId="77777777" w:rsidR="00AA2148" w:rsidRPr="00625FD7" w:rsidRDefault="00B771E4" w:rsidP="000A3860">
            <w:pPr>
              <w:jc w:val="center"/>
              <w:rPr>
                <w:sz w:val="21"/>
                <w:szCs w:val="21"/>
              </w:rPr>
            </w:pPr>
            <w:r w:rsidRPr="00625FD7">
              <w:rPr>
                <w:b/>
                <w:sz w:val="21"/>
                <w:szCs w:val="21"/>
              </w:rPr>
              <w:t>Dividend (FJD M)</w:t>
            </w:r>
          </w:p>
        </w:tc>
        <w:tc>
          <w:tcPr>
            <w:tcW w:w="4064" w:type="dxa"/>
            <w:shd w:val="clear" w:color="auto" w:fill="D5E8F0"/>
          </w:tcPr>
          <w:p w14:paraId="55F86BCC" w14:textId="77777777" w:rsidR="00AA2148" w:rsidRPr="00625FD7" w:rsidRDefault="00B771E4" w:rsidP="000A3860">
            <w:pPr>
              <w:jc w:val="center"/>
              <w:rPr>
                <w:sz w:val="21"/>
                <w:szCs w:val="21"/>
              </w:rPr>
            </w:pPr>
            <w:r w:rsidRPr="00625FD7">
              <w:rPr>
                <w:b/>
                <w:sz w:val="21"/>
                <w:szCs w:val="21"/>
              </w:rPr>
              <w:t>Notes</w:t>
            </w:r>
          </w:p>
        </w:tc>
      </w:tr>
      <w:tr w:rsidR="00AA2148" w:rsidRPr="00625FD7" w14:paraId="0C5FBA6B" w14:textId="77777777" w:rsidTr="00E66E09">
        <w:tc>
          <w:tcPr>
            <w:tcW w:w="850" w:type="dxa"/>
          </w:tcPr>
          <w:p w14:paraId="28515909" w14:textId="77777777" w:rsidR="00AA2148" w:rsidRPr="00625FD7" w:rsidRDefault="00B771E4" w:rsidP="000A3860">
            <w:pPr>
              <w:jc w:val="center"/>
              <w:rPr>
                <w:sz w:val="21"/>
                <w:szCs w:val="21"/>
              </w:rPr>
            </w:pPr>
            <w:r w:rsidRPr="00625FD7">
              <w:rPr>
                <w:sz w:val="21"/>
                <w:szCs w:val="21"/>
              </w:rPr>
              <w:t>2017</w:t>
            </w:r>
          </w:p>
        </w:tc>
        <w:tc>
          <w:tcPr>
            <w:tcW w:w="1560" w:type="dxa"/>
          </w:tcPr>
          <w:p w14:paraId="53D18483" w14:textId="77777777" w:rsidR="00AA2148" w:rsidRPr="00625FD7" w:rsidRDefault="00B771E4" w:rsidP="000A3860">
            <w:pPr>
              <w:jc w:val="center"/>
              <w:rPr>
                <w:sz w:val="21"/>
                <w:szCs w:val="21"/>
              </w:rPr>
            </w:pPr>
            <w:r w:rsidRPr="00625FD7">
              <w:rPr>
                <w:sz w:val="21"/>
                <w:szCs w:val="21"/>
              </w:rPr>
              <w:t>67.4</w:t>
            </w:r>
          </w:p>
        </w:tc>
        <w:tc>
          <w:tcPr>
            <w:tcW w:w="1984" w:type="dxa"/>
          </w:tcPr>
          <w:p w14:paraId="27D5720E" w14:textId="77777777" w:rsidR="00AA2148" w:rsidRPr="00625FD7" w:rsidRDefault="00B771E4" w:rsidP="000A3860">
            <w:pPr>
              <w:jc w:val="center"/>
              <w:rPr>
                <w:sz w:val="21"/>
                <w:szCs w:val="21"/>
              </w:rPr>
            </w:pPr>
            <w:r w:rsidRPr="00625FD7">
              <w:rPr>
                <w:sz w:val="21"/>
                <w:szCs w:val="21"/>
              </w:rPr>
              <w:t>20.0</w:t>
            </w:r>
          </w:p>
        </w:tc>
        <w:tc>
          <w:tcPr>
            <w:tcW w:w="4064" w:type="dxa"/>
          </w:tcPr>
          <w:p w14:paraId="42853C1B" w14:textId="77777777" w:rsidR="00AA2148" w:rsidRPr="00625FD7" w:rsidRDefault="00B771E4" w:rsidP="000A3860">
            <w:pPr>
              <w:jc w:val="center"/>
              <w:rPr>
                <w:sz w:val="21"/>
                <w:szCs w:val="21"/>
              </w:rPr>
            </w:pPr>
            <w:r w:rsidRPr="00625FD7">
              <w:rPr>
                <w:sz w:val="21"/>
                <w:szCs w:val="21"/>
              </w:rPr>
              <w:t>First cash dividend in FEA/EFL history</w:t>
            </w:r>
          </w:p>
        </w:tc>
      </w:tr>
      <w:tr w:rsidR="00AA2148" w:rsidRPr="00625FD7" w14:paraId="13F9E7BE" w14:textId="77777777" w:rsidTr="00E66E09">
        <w:tc>
          <w:tcPr>
            <w:tcW w:w="850" w:type="dxa"/>
          </w:tcPr>
          <w:p w14:paraId="4F7F4FD8" w14:textId="77777777" w:rsidR="00AA2148" w:rsidRPr="00625FD7" w:rsidRDefault="00B771E4" w:rsidP="000A3860">
            <w:pPr>
              <w:jc w:val="center"/>
              <w:rPr>
                <w:sz w:val="21"/>
                <w:szCs w:val="21"/>
              </w:rPr>
            </w:pPr>
            <w:r w:rsidRPr="00625FD7">
              <w:rPr>
                <w:sz w:val="21"/>
                <w:szCs w:val="21"/>
              </w:rPr>
              <w:t>2018</w:t>
            </w:r>
          </w:p>
        </w:tc>
        <w:tc>
          <w:tcPr>
            <w:tcW w:w="1560" w:type="dxa"/>
          </w:tcPr>
          <w:p w14:paraId="6226FB6A" w14:textId="77777777" w:rsidR="00AA2148" w:rsidRPr="00625FD7" w:rsidRDefault="00B771E4" w:rsidP="000A3860">
            <w:pPr>
              <w:jc w:val="center"/>
              <w:rPr>
                <w:sz w:val="21"/>
                <w:szCs w:val="21"/>
              </w:rPr>
            </w:pPr>
            <w:r w:rsidRPr="00625FD7">
              <w:rPr>
                <w:sz w:val="21"/>
                <w:szCs w:val="21"/>
              </w:rPr>
              <w:t>63.9</w:t>
            </w:r>
          </w:p>
        </w:tc>
        <w:tc>
          <w:tcPr>
            <w:tcW w:w="1984" w:type="dxa"/>
          </w:tcPr>
          <w:p w14:paraId="0C880B92" w14:textId="77777777" w:rsidR="00AA2148" w:rsidRPr="00625FD7" w:rsidRDefault="00B771E4" w:rsidP="000A3860">
            <w:pPr>
              <w:jc w:val="center"/>
              <w:rPr>
                <w:sz w:val="21"/>
                <w:szCs w:val="21"/>
              </w:rPr>
            </w:pPr>
            <w:r w:rsidRPr="00625FD7">
              <w:rPr>
                <w:sz w:val="21"/>
                <w:szCs w:val="21"/>
              </w:rPr>
              <w:t>Nil</w:t>
            </w:r>
          </w:p>
        </w:tc>
        <w:tc>
          <w:tcPr>
            <w:tcW w:w="4064" w:type="dxa"/>
          </w:tcPr>
          <w:p w14:paraId="5A308F64" w14:textId="77777777" w:rsidR="00AA2148" w:rsidRPr="00625FD7" w:rsidRDefault="00B771E4" w:rsidP="000A3860">
            <w:pPr>
              <w:jc w:val="center"/>
              <w:rPr>
                <w:sz w:val="21"/>
                <w:szCs w:val="21"/>
              </w:rPr>
            </w:pPr>
            <w:r w:rsidRPr="00625FD7">
              <w:rPr>
                <w:sz w:val="21"/>
                <w:szCs w:val="21"/>
              </w:rPr>
              <w:t>44% sold to Japanese consortium (~$1.2B)</w:t>
            </w:r>
          </w:p>
        </w:tc>
      </w:tr>
      <w:tr w:rsidR="00AA2148" w:rsidRPr="00625FD7" w14:paraId="42D1D188" w14:textId="77777777" w:rsidTr="00E66E09">
        <w:tc>
          <w:tcPr>
            <w:tcW w:w="850" w:type="dxa"/>
          </w:tcPr>
          <w:p w14:paraId="753C1386" w14:textId="77777777" w:rsidR="00AA2148" w:rsidRPr="00625FD7" w:rsidRDefault="00B771E4" w:rsidP="000A3860">
            <w:pPr>
              <w:jc w:val="center"/>
              <w:rPr>
                <w:sz w:val="21"/>
                <w:szCs w:val="21"/>
              </w:rPr>
            </w:pPr>
            <w:r w:rsidRPr="00625FD7">
              <w:rPr>
                <w:sz w:val="21"/>
                <w:szCs w:val="21"/>
              </w:rPr>
              <w:t>2019</w:t>
            </w:r>
          </w:p>
        </w:tc>
        <w:tc>
          <w:tcPr>
            <w:tcW w:w="1560" w:type="dxa"/>
          </w:tcPr>
          <w:p w14:paraId="1CC60207" w14:textId="77777777" w:rsidR="00AA2148" w:rsidRPr="00625FD7" w:rsidRDefault="00B771E4" w:rsidP="000A3860">
            <w:pPr>
              <w:jc w:val="center"/>
              <w:rPr>
                <w:sz w:val="21"/>
                <w:szCs w:val="21"/>
              </w:rPr>
            </w:pPr>
            <w:r w:rsidRPr="00625FD7">
              <w:rPr>
                <w:sz w:val="21"/>
                <w:szCs w:val="21"/>
              </w:rPr>
              <w:t>63.7</w:t>
            </w:r>
          </w:p>
        </w:tc>
        <w:tc>
          <w:tcPr>
            <w:tcW w:w="1984" w:type="dxa"/>
          </w:tcPr>
          <w:p w14:paraId="7348943E" w14:textId="77777777" w:rsidR="00AA2148" w:rsidRPr="00625FD7" w:rsidRDefault="00B771E4" w:rsidP="000A3860">
            <w:pPr>
              <w:jc w:val="center"/>
              <w:rPr>
                <w:sz w:val="21"/>
                <w:szCs w:val="21"/>
              </w:rPr>
            </w:pPr>
            <w:r w:rsidRPr="00625FD7">
              <w:rPr>
                <w:sz w:val="21"/>
                <w:szCs w:val="21"/>
              </w:rPr>
              <w:t>35.0</w:t>
            </w:r>
          </w:p>
        </w:tc>
        <w:tc>
          <w:tcPr>
            <w:tcW w:w="4064" w:type="dxa"/>
          </w:tcPr>
          <w:p w14:paraId="426BF639" w14:textId="77777777" w:rsidR="00AA2148" w:rsidRPr="00625FD7" w:rsidRDefault="00B771E4" w:rsidP="000A3860">
            <w:pPr>
              <w:jc w:val="center"/>
              <w:rPr>
                <w:sz w:val="21"/>
                <w:szCs w:val="21"/>
              </w:rPr>
            </w:pPr>
            <w:r w:rsidRPr="00625FD7">
              <w:rPr>
                <w:sz w:val="21"/>
                <w:szCs w:val="21"/>
              </w:rPr>
              <w:t>2% tariff increase awarded</w:t>
            </w:r>
          </w:p>
        </w:tc>
      </w:tr>
      <w:tr w:rsidR="00AA2148" w:rsidRPr="00625FD7" w14:paraId="1B7825E8" w14:textId="77777777" w:rsidTr="00E66E09">
        <w:tc>
          <w:tcPr>
            <w:tcW w:w="850" w:type="dxa"/>
          </w:tcPr>
          <w:p w14:paraId="06602CAB" w14:textId="77777777" w:rsidR="00AA2148" w:rsidRPr="00625FD7" w:rsidRDefault="00B771E4" w:rsidP="000A3860">
            <w:pPr>
              <w:jc w:val="center"/>
              <w:rPr>
                <w:sz w:val="21"/>
                <w:szCs w:val="21"/>
              </w:rPr>
            </w:pPr>
            <w:r w:rsidRPr="00625FD7">
              <w:rPr>
                <w:sz w:val="21"/>
                <w:szCs w:val="21"/>
              </w:rPr>
              <w:t>2020</w:t>
            </w:r>
          </w:p>
        </w:tc>
        <w:tc>
          <w:tcPr>
            <w:tcW w:w="1560" w:type="dxa"/>
          </w:tcPr>
          <w:p w14:paraId="329E62EE" w14:textId="77777777" w:rsidR="00AA2148" w:rsidRPr="00625FD7" w:rsidRDefault="00B771E4" w:rsidP="000A3860">
            <w:pPr>
              <w:jc w:val="center"/>
              <w:rPr>
                <w:sz w:val="21"/>
                <w:szCs w:val="21"/>
              </w:rPr>
            </w:pPr>
            <w:r w:rsidRPr="00625FD7">
              <w:rPr>
                <w:sz w:val="21"/>
                <w:szCs w:val="21"/>
              </w:rPr>
              <w:t>66.8</w:t>
            </w:r>
          </w:p>
        </w:tc>
        <w:tc>
          <w:tcPr>
            <w:tcW w:w="1984" w:type="dxa"/>
          </w:tcPr>
          <w:p w14:paraId="014610E4" w14:textId="77777777" w:rsidR="00AA2148" w:rsidRPr="00625FD7" w:rsidRDefault="00B771E4" w:rsidP="000A3860">
            <w:pPr>
              <w:jc w:val="center"/>
              <w:rPr>
                <w:sz w:val="21"/>
                <w:szCs w:val="21"/>
              </w:rPr>
            </w:pPr>
            <w:r w:rsidRPr="00625FD7">
              <w:rPr>
                <w:sz w:val="21"/>
                <w:szCs w:val="21"/>
              </w:rPr>
              <w:t>39.0</w:t>
            </w:r>
          </w:p>
        </w:tc>
        <w:tc>
          <w:tcPr>
            <w:tcW w:w="4064" w:type="dxa"/>
          </w:tcPr>
          <w:p w14:paraId="7802B8CA" w14:textId="77777777" w:rsidR="00AA2148" w:rsidRPr="00625FD7" w:rsidRDefault="00AA2148" w:rsidP="000A3860">
            <w:pPr>
              <w:jc w:val="center"/>
              <w:rPr>
                <w:sz w:val="21"/>
                <w:szCs w:val="21"/>
              </w:rPr>
            </w:pPr>
          </w:p>
        </w:tc>
      </w:tr>
      <w:tr w:rsidR="00AA2148" w:rsidRPr="00625FD7" w14:paraId="70E2E617" w14:textId="77777777" w:rsidTr="00E66E09">
        <w:tc>
          <w:tcPr>
            <w:tcW w:w="850" w:type="dxa"/>
          </w:tcPr>
          <w:p w14:paraId="6B52F258" w14:textId="77777777" w:rsidR="00AA2148" w:rsidRPr="00625FD7" w:rsidRDefault="00B771E4" w:rsidP="000A3860">
            <w:pPr>
              <w:jc w:val="center"/>
              <w:rPr>
                <w:sz w:val="21"/>
                <w:szCs w:val="21"/>
              </w:rPr>
            </w:pPr>
            <w:r w:rsidRPr="00625FD7">
              <w:rPr>
                <w:sz w:val="21"/>
                <w:szCs w:val="21"/>
              </w:rPr>
              <w:t>2021</w:t>
            </w:r>
          </w:p>
        </w:tc>
        <w:tc>
          <w:tcPr>
            <w:tcW w:w="1560" w:type="dxa"/>
          </w:tcPr>
          <w:p w14:paraId="68281B98" w14:textId="77777777" w:rsidR="00AA2148" w:rsidRPr="00625FD7" w:rsidRDefault="00B771E4" w:rsidP="000A3860">
            <w:pPr>
              <w:jc w:val="center"/>
              <w:rPr>
                <w:sz w:val="21"/>
                <w:szCs w:val="21"/>
              </w:rPr>
            </w:pPr>
            <w:r w:rsidRPr="00625FD7">
              <w:rPr>
                <w:sz w:val="21"/>
                <w:szCs w:val="21"/>
              </w:rPr>
              <w:t>66.6</w:t>
            </w:r>
          </w:p>
        </w:tc>
        <w:tc>
          <w:tcPr>
            <w:tcW w:w="1984" w:type="dxa"/>
          </w:tcPr>
          <w:p w14:paraId="65B77959" w14:textId="77777777" w:rsidR="00AA2148" w:rsidRPr="00625FD7" w:rsidRDefault="00B771E4" w:rsidP="000A3860">
            <w:pPr>
              <w:jc w:val="center"/>
              <w:rPr>
                <w:sz w:val="21"/>
                <w:szCs w:val="21"/>
              </w:rPr>
            </w:pPr>
            <w:r w:rsidRPr="00625FD7">
              <w:rPr>
                <w:sz w:val="21"/>
                <w:szCs w:val="21"/>
              </w:rPr>
              <w:t>42.0</w:t>
            </w:r>
          </w:p>
        </w:tc>
        <w:tc>
          <w:tcPr>
            <w:tcW w:w="4064" w:type="dxa"/>
          </w:tcPr>
          <w:p w14:paraId="4AB73116" w14:textId="77777777" w:rsidR="00AA2148" w:rsidRPr="00625FD7" w:rsidRDefault="00AA2148" w:rsidP="000A3860">
            <w:pPr>
              <w:jc w:val="center"/>
              <w:rPr>
                <w:sz w:val="21"/>
                <w:szCs w:val="21"/>
              </w:rPr>
            </w:pPr>
          </w:p>
        </w:tc>
      </w:tr>
      <w:tr w:rsidR="00AA2148" w:rsidRPr="00625FD7" w14:paraId="17A8C21B" w14:textId="77777777" w:rsidTr="00E66E09">
        <w:tc>
          <w:tcPr>
            <w:tcW w:w="850" w:type="dxa"/>
          </w:tcPr>
          <w:p w14:paraId="4BA1FD09" w14:textId="77777777" w:rsidR="00AA2148" w:rsidRPr="00625FD7" w:rsidRDefault="00B771E4" w:rsidP="000A3860">
            <w:pPr>
              <w:jc w:val="center"/>
              <w:rPr>
                <w:sz w:val="21"/>
                <w:szCs w:val="21"/>
              </w:rPr>
            </w:pPr>
            <w:r w:rsidRPr="00625FD7">
              <w:rPr>
                <w:sz w:val="21"/>
                <w:szCs w:val="21"/>
              </w:rPr>
              <w:t>2022</w:t>
            </w:r>
          </w:p>
        </w:tc>
        <w:tc>
          <w:tcPr>
            <w:tcW w:w="1560" w:type="dxa"/>
          </w:tcPr>
          <w:p w14:paraId="207525B4" w14:textId="77777777" w:rsidR="00AA2148" w:rsidRPr="00625FD7" w:rsidRDefault="00B771E4" w:rsidP="000A3860">
            <w:pPr>
              <w:jc w:val="center"/>
              <w:rPr>
                <w:sz w:val="21"/>
                <w:szCs w:val="21"/>
              </w:rPr>
            </w:pPr>
            <w:r w:rsidRPr="00625FD7">
              <w:rPr>
                <w:sz w:val="21"/>
                <w:szCs w:val="21"/>
              </w:rPr>
              <w:t>58.1</w:t>
            </w:r>
          </w:p>
        </w:tc>
        <w:tc>
          <w:tcPr>
            <w:tcW w:w="1984" w:type="dxa"/>
          </w:tcPr>
          <w:p w14:paraId="49341F4A" w14:textId="77777777" w:rsidR="00AA2148" w:rsidRPr="00625FD7" w:rsidRDefault="00B771E4" w:rsidP="000A3860">
            <w:pPr>
              <w:jc w:val="center"/>
              <w:rPr>
                <w:sz w:val="21"/>
                <w:szCs w:val="21"/>
              </w:rPr>
            </w:pPr>
            <w:r w:rsidRPr="00625FD7">
              <w:rPr>
                <w:sz w:val="21"/>
                <w:szCs w:val="21"/>
              </w:rPr>
              <w:t>41.0</w:t>
            </w:r>
          </w:p>
        </w:tc>
        <w:tc>
          <w:tcPr>
            <w:tcW w:w="4064" w:type="dxa"/>
          </w:tcPr>
          <w:p w14:paraId="6FA13CDC" w14:textId="77777777" w:rsidR="00AA2148" w:rsidRPr="00625FD7" w:rsidRDefault="00B771E4" w:rsidP="000A3860">
            <w:pPr>
              <w:jc w:val="center"/>
              <w:rPr>
                <w:sz w:val="21"/>
                <w:szCs w:val="21"/>
              </w:rPr>
            </w:pPr>
            <w:r w:rsidRPr="00625FD7">
              <w:rPr>
                <w:sz w:val="21"/>
                <w:szCs w:val="21"/>
              </w:rPr>
              <w:t>71% payout ratio</w:t>
            </w:r>
          </w:p>
        </w:tc>
      </w:tr>
      <w:tr w:rsidR="00AA2148" w:rsidRPr="00625FD7" w14:paraId="7F97F827" w14:textId="77777777" w:rsidTr="00E66E09">
        <w:tc>
          <w:tcPr>
            <w:tcW w:w="850" w:type="dxa"/>
          </w:tcPr>
          <w:p w14:paraId="402B34CA" w14:textId="77777777" w:rsidR="00AA2148" w:rsidRPr="00625FD7" w:rsidRDefault="00B771E4" w:rsidP="000A3860">
            <w:pPr>
              <w:jc w:val="center"/>
              <w:rPr>
                <w:sz w:val="21"/>
                <w:szCs w:val="21"/>
              </w:rPr>
            </w:pPr>
            <w:r w:rsidRPr="00625FD7">
              <w:rPr>
                <w:sz w:val="21"/>
                <w:szCs w:val="21"/>
              </w:rPr>
              <w:t>2023</w:t>
            </w:r>
          </w:p>
        </w:tc>
        <w:tc>
          <w:tcPr>
            <w:tcW w:w="1560" w:type="dxa"/>
          </w:tcPr>
          <w:p w14:paraId="5494FEF3" w14:textId="77777777" w:rsidR="00AA2148" w:rsidRPr="00625FD7" w:rsidRDefault="00B771E4" w:rsidP="000A3860">
            <w:pPr>
              <w:jc w:val="center"/>
              <w:rPr>
                <w:sz w:val="21"/>
                <w:szCs w:val="21"/>
              </w:rPr>
            </w:pPr>
            <w:r w:rsidRPr="00625FD7">
              <w:rPr>
                <w:sz w:val="21"/>
                <w:szCs w:val="21"/>
              </w:rPr>
              <w:t>(28.0) Loss</w:t>
            </w:r>
          </w:p>
        </w:tc>
        <w:tc>
          <w:tcPr>
            <w:tcW w:w="1984" w:type="dxa"/>
          </w:tcPr>
          <w:p w14:paraId="73059ABF" w14:textId="77777777" w:rsidR="00AA2148" w:rsidRPr="00625FD7" w:rsidRDefault="00B771E4" w:rsidP="000A3860">
            <w:pPr>
              <w:jc w:val="center"/>
              <w:rPr>
                <w:sz w:val="21"/>
                <w:szCs w:val="21"/>
              </w:rPr>
            </w:pPr>
            <w:r w:rsidRPr="00625FD7">
              <w:rPr>
                <w:sz w:val="21"/>
                <w:szCs w:val="21"/>
              </w:rPr>
              <w:t>41.0</w:t>
            </w:r>
          </w:p>
        </w:tc>
        <w:tc>
          <w:tcPr>
            <w:tcW w:w="4064" w:type="dxa"/>
          </w:tcPr>
          <w:p w14:paraId="390E95DC" w14:textId="77777777" w:rsidR="00AA2148" w:rsidRPr="00625FD7" w:rsidRDefault="00B771E4" w:rsidP="000A3860">
            <w:pPr>
              <w:jc w:val="center"/>
              <w:rPr>
                <w:sz w:val="21"/>
                <w:szCs w:val="21"/>
              </w:rPr>
            </w:pPr>
            <w:r w:rsidRPr="00625FD7">
              <w:rPr>
                <w:sz w:val="21"/>
                <w:szCs w:val="21"/>
              </w:rPr>
              <w:t>Dividend paid despite loss</w:t>
            </w:r>
          </w:p>
        </w:tc>
      </w:tr>
      <w:tr w:rsidR="00AA2148" w:rsidRPr="00625FD7" w14:paraId="7A345933" w14:textId="77777777" w:rsidTr="00E66E09">
        <w:tc>
          <w:tcPr>
            <w:tcW w:w="850" w:type="dxa"/>
          </w:tcPr>
          <w:p w14:paraId="0417EB34" w14:textId="77777777" w:rsidR="00AA2148" w:rsidRPr="00625FD7" w:rsidRDefault="00B771E4" w:rsidP="000A3860">
            <w:pPr>
              <w:jc w:val="center"/>
              <w:rPr>
                <w:sz w:val="21"/>
                <w:szCs w:val="21"/>
              </w:rPr>
            </w:pPr>
            <w:r w:rsidRPr="00625FD7">
              <w:rPr>
                <w:sz w:val="21"/>
                <w:szCs w:val="21"/>
              </w:rPr>
              <w:t>2024</w:t>
            </w:r>
          </w:p>
        </w:tc>
        <w:tc>
          <w:tcPr>
            <w:tcW w:w="1560" w:type="dxa"/>
          </w:tcPr>
          <w:p w14:paraId="24A6E742" w14:textId="77777777" w:rsidR="00AA2148" w:rsidRPr="00625FD7" w:rsidRDefault="00B771E4" w:rsidP="000A3860">
            <w:pPr>
              <w:jc w:val="center"/>
              <w:rPr>
                <w:sz w:val="21"/>
                <w:szCs w:val="21"/>
              </w:rPr>
            </w:pPr>
            <w:r w:rsidRPr="00625FD7">
              <w:rPr>
                <w:sz w:val="21"/>
                <w:szCs w:val="21"/>
              </w:rPr>
              <w:t>7.2</w:t>
            </w:r>
          </w:p>
        </w:tc>
        <w:tc>
          <w:tcPr>
            <w:tcW w:w="1984" w:type="dxa"/>
          </w:tcPr>
          <w:p w14:paraId="32029FC0" w14:textId="77777777" w:rsidR="00AA2148" w:rsidRPr="00625FD7" w:rsidRDefault="000A3860" w:rsidP="000A3860">
            <w:pPr>
              <w:jc w:val="center"/>
              <w:rPr>
                <w:sz w:val="21"/>
                <w:szCs w:val="21"/>
              </w:rPr>
            </w:pPr>
            <w:r w:rsidRPr="00625FD7">
              <w:rPr>
                <w:sz w:val="21"/>
                <w:szCs w:val="21"/>
              </w:rPr>
              <w:t>-</w:t>
            </w:r>
          </w:p>
        </w:tc>
        <w:tc>
          <w:tcPr>
            <w:tcW w:w="4064" w:type="dxa"/>
          </w:tcPr>
          <w:p w14:paraId="29B75B3F" w14:textId="77777777" w:rsidR="00AA2148" w:rsidRPr="00625FD7" w:rsidRDefault="00AA2148" w:rsidP="000A3860">
            <w:pPr>
              <w:jc w:val="center"/>
              <w:rPr>
                <w:sz w:val="21"/>
                <w:szCs w:val="21"/>
              </w:rPr>
            </w:pPr>
          </w:p>
        </w:tc>
      </w:tr>
      <w:tr w:rsidR="00AA2148" w:rsidRPr="00C260BE" w14:paraId="30A9D9CD" w14:textId="77777777" w:rsidTr="00E66E09">
        <w:tc>
          <w:tcPr>
            <w:tcW w:w="850" w:type="dxa"/>
          </w:tcPr>
          <w:p w14:paraId="454EE726" w14:textId="77777777" w:rsidR="00AA2148" w:rsidRPr="00C260BE" w:rsidRDefault="00B771E4" w:rsidP="000A3860">
            <w:pPr>
              <w:jc w:val="center"/>
              <w:rPr>
                <w:b/>
                <w:sz w:val="21"/>
                <w:szCs w:val="21"/>
              </w:rPr>
            </w:pPr>
            <w:r w:rsidRPr="00C260BE">
              <w:rPr>
                <w:b/>
                <w:sz w:val="21"/>
                <w:szCs w:val="21"/>
              </w:rPr>
              <w:t>Total</w:t>
            </w:r>
          </w:p>
        </w:tc>
        <w:tc>
          <w:tcPr>
            <w:tcW w:w="1560" w:type="dxa"/>
          </w:tcPr>
          <w:p w14:paraId="7F066CC0" w14:textId="77777777" w:rsidR="00AA2148" w:rsidRPr="00C260BE" w:rsidRDefault="00B771E4" w:rsidP="000A3860">
            <w:pPr>
              <w:jc w:val="center"/>
              <w:rPr>
                <w:b/>
                <w:sz w:val="21"/>
                <w:szCs w:val="21"/>
              </w:rPr>
            </w:pPr>
            <w:r w:rsidRPr="00C260BE">
              <w:rPr>
                <w:b/>
                <w:sz w:val="21"/>
                <w:szCs w:val="21"/>
              </w:rPr>
              <w:t>365.7</w:t>
            </w:r>
          </w:p>
        </w:tc>
        <w:tc>
          <w:tcPr>
            <w:tcW w:w="1984" w:type="dxa"/>
          </w:tcPr>
          <w:p w14:paraId="3486FAAF" w14:textId="77777777" w:rsidR="00AA2148" w:rsidRPr="00C260BE" w:rsidRDefault="00B771E4" w:rsidP="000A3860">
            <w:pPr>
              <w:jc w:val="center"/>
              <w:rPr>
                <w:b/>
                <w:sz w:val="21"/>
                <w:szCs w:val="21"/>
              </w:rPr>
            </w:pPr>
            <w:r w:rsidRPr="00C260BE">
              <w:rPr>
                <w:b/>
                <w:sz w:val="21"/>
                <w:szCs w:val="21"/>
              </w:rPr>
              <w:t>218.0</w:t>
            </w:r>
          </w:p>
        </w:tc>
        <w:tc>
          <w:tcPr>
            <w:tcW w:w="4064" w:type="dxa"/>
          </w:tcPr>
          <w:p w14:paraId="394BEC02" w14:textId="77777777" w:rsidR="00AA2148" w:rsidRPr="00C260BE" w:rsidRDefault="00B771E4" w:rsidP="000A3860">
            <w:pPr>
              <w:jc w:val="center"/>
              <w:rPr>
                <w:b/>
                <w:sz w:val="21"/>
                <w:szCs w:val="21"/>
              </w:rPr>
            </w:pPr>
            <w:r w:rsidRPr="00C260BE">
              <w:rPr>
                <w:b/>
                <w:sz w:val="21"/>
                <w:szCs w:val="21"/>
              </w:rPr>
              <w:t>60% average payout 2017-2023</w:t>
            </w:r>
          </w:p>
        </w:tc>
      </w:tr>
    </w:tbl>
    <w:p w14:paraId="7F15557A" w14:textId="77777777" w:rsidR="00AA2148" w:rsidRDefault="00AA2148" w:rsidP="0099205B">
      <w:pPr>
        <w:spacing w:after="0"/>
      </w:pPr>
    </w:p>
    <w:p w14:paraId="707D1883" w14:textId="77777777" w:rsidR="00AA2148" w:rsidRPr="00625FD7" w:rsidRDefault="00B771E4" w:rsidP="00813670">
      <w:pPr>
        <w:jc w:val="both"/>
        <w:rPr>
          <w:sz w:val="23"/>
          <w:szCs w:val="23"/>
        </w:rPr>
      </w:pPr>
      <w:r w:rsidRPr="00625FD7">
        <w:rPr>
          <w:sz w:val="23"/>
          <w:szCs w:val="23"/>
        </w:rPr>
        <w:t xml:space="preserve">The 2023 dividend decision is particularly striking: FJD 41 million was distributed to shareholders despite </w:t>
      </w:r>
      <w:proofErr w:type="gramStart"/>
      <w:r w:rsidRPr="00625FD7">
        <w:rPr>
          <w:sz w:val="23"/>
          <w:szCs w:val="23"/>
        </w:rPr>
        <w:t>a</w:t>
      </w:r>
      <w:proofErr w:type="gramEnd"/>
      <w:r w:rsidRPr="00625FD7">
        <w:rPr>
          <w:sz w:val="23"/>
          <w:szCs w:val="23"/>
        </w:rPr>
        <w:t xml:space="preserve"> FJD 28 million loss. This demonstrates a pattern of prioritizing shareholder returns over capital retention. A company that pays dividends exceeding its profits while simultaneously claiming that consumers must fund urgent capital expenditure exhibits inconsistent priorities that warrant regulatory scrutiny.</w:t>
      </w:r>
    </w:p>
    <w:p w14:paraId="0A2248B6" w14:textId="77777777" w:rsidR="00AA2148" w:rsidRPr="00625FD7" w:rsidRDefault="00B771E4">
      <w:pPr>
        <w:pStyle w:val="Heading2"/>
        <w:rPr>
          <w:sz w:val="28"/>
        </w:rPr>
      </w:pPr>
      <w:r w:rsidRPr="00625FD7">
        <w:rPr>
          <w:color w:val="000000"/>
          <w:sz w:val="28"/>
        </w:rPr>
        <w:t>3.2 Gearing Ratio: Untapped Borrowing Capacity</w:t>
      </w:r>
    </w:p>
    <w:p w14:paraId="604C2FFA" w14:textId="77777777" w:rsidR="00AA2148" w:rsidRPr="00625FD7" w:rsidRDefault="00B771E4" w:rsidP="00813670">
      <w:pPr>
        <w:jc w:val="both"/>
        <w:rPr>
          <w:sz w:val="23"/>
          <w:szCs w:val="23"/>
        </w:rPr>
      </w:pPr>
      <w:r w:rsidRPr="00625FD7">
        <w:rPr>
          <w:sz w:val="23"/>
          <w:szCs w:val="23"/>
        </w:rPr>
        <w:t>EFL's gearing ratio has remained extremely low throughout the period 2019-2024, ranging from 8% to 26%. Industry benchmarks for regulated utilities typically show gearing of 60-100%. This demonstrates substantial untapped borrowing capacity</w:t>
      </w:r>
      <w:r w:rsidR="00813670" w:rsidRPr="00625FD7">
        <w:rPr>
          <w:sz w:val="23"/>
          <w:szCs w:val="23"/>
        </w:rPr>
        <w:t xml:space="preserve"> - </w:t>
      </w:r>
      <w:r w:rsidRPr="00625FD7">
        <w:rPr>
          <w:sz w:val="23"/>
          <w:szCs w:val="23"/>
        </w:rPr>
        <w:t>capacity that should be utilized before consumer extraction is permitted.</w:t>
      </w:r>
    </w:p>
    <w:p w14:paraId="65D97D0F" w14:textId="77777777" w:rsidR="00AA2148" w:rsidRPr="00625FD7" w:rsidRDefault="00B771E4" w:rsidP="00813670">
      <w:pPr>
        <w:jc w:val="both"/>
        <w:rPr>
          <w:sz w:val="23"/>
          <w:szCs w:val="23"/>
        </w:rPr>
      </w:pPr>
      <w:r w:rsidRPr="00C260BE">
        <w:rPr>
          <w:b/>
          <w:sz w:val="23"/>
          <w:szCs w:val="23"/>
        </w:rPr>
        <w:t xml:space="preserve">EFL's </w:t>
      </w:r>
      <w:r w:rsidR="00813670" w:rsidRPr="00C260BE">
        <w:rPr>
          <w:b/>
          <w:sz w:val="23"/>
          <w:szCs w:val="23"/>
        </w:rPr>
        <w:t>own 2018 Annual Report states:</w:t>
      </w:r>
      <w:r w:rsidR="00813670" w:rsidRPr="00625FD7">
        <w:rPr>
          <w:sz w:val="23"/>
          <w:szCs w:val="23"/>
        </w:rPr>
        <w:t xml:space="preserve"> </w:t>
      </w:r>
      <w:r w:rsidR="00813670" w:rsidRPr="00625FD7">
        <w:rPr>
          <w:i/>
          <w:sz w:val="23"/>
          <w:szCs w:val="23"/>
        </w:rPr>
        <w:t>“</w:t>
      </w:r>
      <w:r w:rsidRPr="00625FD7">
        <w:rPr>
          <w:i/>
          <w:sz w:val="23"/>
          <w:szCs w:val="23"/>
        </w:rPr>
        <w:t>Throughout the determination of the various sources and levels of investment, EFL will remain mindful that all borrowings to fund capital project must not e</w:t>
      </w:r>
      <w:r w:rsidR="00813670" w:rsidRPr="00625FD7">
        <w:rPr>
          <w:i/>
          <w:sz w:val="23"/>
          <w:szCs w:val="23"/>
        </w:rPr>
        <w:t>xceed the gearing level of 45%.”</w:t>
      </w:r>
      <w:r w:rsidRPr="00625FD7">
        <w:rPr>
          <w:sz w:val="23"/>
          <w:szCs w:val="23"/>
        </w:rPr>
        <w:t xml:space="preserve"> Yet EFL </w:t>
      </w:r>
      <w:r w:rsidR="00813670" w:rsidRPr="00625FD7">
        <w:rPr>
          <w:sz w:val="23"/>
          <w:szCs w:val="23"/>
        </w:rPr>
        <w:t xml:space="preserve">has maintained gearing at 8-26% - </w:t>
      </w:r>
      <w:r w:rsidRPr="00625FD7">
        <w:rPr>
          <w:sz w:val="23"/>
          <w:szCs w:val="23"/>
        </w:rPr>
        <w:t>well below even its own stated threshold</w:t>
      </w:r>
      <w:r w:rsidR="00813670" w:rsidRPr="00625FD7">
        <w:rPr>
          <w:sz w:val="23"/>
          <w:szCs w:val="23"/>
        </w:rPr>
        <w:t xml:space="preserve"> - </w:t>
      </w:r>
      <w:r w:rsidRPr="00625FD7">
        <w:rPr>
          <w:sz w:val="23"/>
          <w:szCs w:val="23"/>
        </w:rPr>
        <w:t>while seeking consumer-funded capital recovery.</w:t>
      </w:r>
    </w:p>
    <w:tbl>
      <w:tblPr>
        <w:tblStyle w:val="TableGrid"/>
        <w:tblW w:w="7229" w:type="dxa"/>
        <w:tblInd w:w="534" w:type="dxa"/>
        <w:tblLook w:val="04A0" w:firstRow="1" w:lastRow="0" w:firstColumn="1" w:lastColumn="0" w:noHBand="0" w:noVBand="1"/>
      </w:tblPr>
      <w:tblGrid>
        <w:gridCol w:w="1411"/>
        <w:gridCol w:w="1849"/>
        <w:gridCol w:w="1984"/>
        <w:gridCol w:w="1985"/>
      </w:tblGrid>
      <w:tr w:rsidR="00AA2148" w:rsidRPr="00625FD7" w14:paraId="5218CD9D" w14:textId="77777777" w:rsidTr="0099205B">
        <w:tc>
          <w:tcPr>
            <w:tcW w:w="1411" w:type="dxa"/>
            <w:shd w:val="clear" w:color="auto" w:fill="D5E8F0"/>
          </w:tcPr>
          <w:p w14:paraId="639F9039" w14:textId="77777777" w:rsidR="00AA2148" w:rsidRPr="00625FD7" w:rsidRDefault="00B771E4" w:rsidP="009F5666">
            <w:pPr>
              <w:jc w:val="center"/>
              <w:rPr>
                <w:sz w:val="21"/>
                <w:szCs w:val="21"/>
              </w:rPr>
            </w:pPr>
            <w:r w:rsidRPr="00625FD7">
              <w:rPr>
                <w:b/>
                <w:sz w:val="21"/>
                <w:szCs w:val="21"/>
              </w:rPr>
              <w:t>Year</w:t>
            </w:r>
          </w:p>
        </w:tc>
        <w:tc>
          <w:tcPr>
            <w:tcW w:w="1849" w:type="dxa"/>
            <w:shd w:val="clear" w:color="auto" w:fill="D5E8F0"/>
          </w:tcPr>
          <w:p w14:paraId="7B6CCA7F" w14:textId="77777777" w:rsidR="00AA2148" w:rsidRPr="00625FD7" w:rsidRDefault="00B771E4" w:rsidP="009F5666">
            <w:pPr>
              <w:jc w:val="center"/>
              <w:rPr>
                <w:sz w:val="21"/>
                <w:szCs w:val="21"/>
              </w:rPr>
            </w:pPr>
            <w:r w:rsidRPr="00625FD7">
              <w:rPr>
                <w:b/>
                <w:sz w:val="21"/>
                <w:szCs w:val="21"/>
              </w:rPr>
              <w:t>EFL Gearing</w:t>
            </w:r>
          </w:p>
        </w:tc>
        <w:tc>
          <w:tcPr>
            <w:tcW w:w="1984" w:type="dxa"/>
            <w:shd w:val="clear" w:color="auto" w:fill="D5E8F0"/>
          </w:tcPr>
          <w:p w14:paraId="17A16AA4" w14:textId="77777777" w:rsidR="00AA2148" w:rsidRPr="00625FD7" w:rsidRDefault="00B771E4" w:rsidP="009F5666">
            <w:pPr>
              <w:jc w:val="center"/>
              <w:rPr>
                <w:sz w:val="21"/>
                <w:szCs w:val="21"/>
              </w:rPr>
            </w:pPr>
            <w:r w:rsidRPr="00625FD7">
              <w:rPr>
                <w:b/>
                <w:sz w:val="21"/>
                <w:szCs w:val="21"/>
              </w:rPr>
              <w:t>Industry Norm</w:t>
            </w:r>
          </w:p>
        </w:tc>
        <w:tc>
          <w:tcPr>
            <w:tcW w:w="1985" w:type="dxa"/>
            <w:shd w:val="clear" w:color="auto" w:fill="D5E8F0"/>
          </w:tcPr>
          <w:p w14:paraId="2684DCD6" w14:textId="77777777" w:rsidR="00AA2148" w:rsidRPr="00625FD7" w:rsidRDefault="00B771E4" w:rsidP="009F5666">
            <w:pPr>
              <w:jc w:val="center"/>
              <w:rPr>
                <w:sz w:val="21"/>
                <w:szCs w:val="21"/>
              </w:rPr>
            </w:pPr>
            <w:r w:rsidRPr="00625FD7">
              <w:rPr>
                <w:b/>
                <w:sz w:val="21"/>
                <w:szCs w:val="21"/>
              </w:rPr>
              <w:t>Capacity Gap</w:t>
            </w:r>
          </w:p>
        </w:tc>
      </w:tr>
      <w:tr w:rsidR="00AA2148" w:rsidRPr="00625FD7" w14:paraId="5BD23363" w14:textId="77777777" w:rsidTr="0099205B">
        <w:tc>
          <w:tcPr>
            <w:tcW w:w="1411" w:type="dxa"/>
          </w:tcPr>
          <w:p w14:paraId="1C94F201" w14:textId="77777777" w:rsidR="00AA2148" w:rsidRPr="00625FD7" w:rsidRDefault="00B771E4" w:rsidP="009F5666">
            <w:pPr>
              <w:jc w:val="center"/>
              <w:rPr>
                <w:sz w:val="21"/>
                <w:szCs w:val="21"/>
              </w:rPr>
            </w:pPr>
            <w:r w:rsidRPr="00625FD7">
              <w:rPr>
                <w:sz w:val="21"/>
                <w:szCs w:val="21"/>
              </w:rPr>
              <w:t>2019</w:t>
            </w:r>
          </w:p>
        </w:tc>
        <w:tc>
          <w:tcPr>
            <w:tcW w:w="1849" w:type="dxa"/>
          </w:tcPr>
          <w:p w14:paraId="1914CE68" w14:textId="77777777" w:rsidR="00AA2148" w:rsidRPr="00625FD7" w:rsidRDefault="00B771E4" w:rsidP="009F5666">
            <w:pPr>
              <w:jc w:val="center"/>
              <w:rPr>
                <w:sz w:val="21"/>
                <w:szCs w:val="21"/>
              </w:rPr>
            </w:pPr>
            <w:r w:rsidRPr="00625FD7">
              <w:rPr>
                <w:sz w:val="21"/>
                <w:szCs w:val="21"/>
              </w:rPr>
              <w:t>26%</w:t>
            </w:r>
          </w:p>
        </w:tc>
        <w:tc>
          <w:tcPr>
            <w:tcW w:w="1984" w:type="dxa"/>
          </w:tcPr>
          <w:p w14:paraId="4E3F2E8B" w14:textId="77777777" w:rsidR="00AA2148" w:rsidRPr="00625FD7" w:rsidRDefault="00B771E4" w:rsidP="009F5666">
            <w:pPr>
              <w:jc w:val="center"/>
              <w:rPr>
                <w:sz w:val="21"/>
                <w:szCs w:val="21"/>
              </w:rPr>
            </w:pPr>
            <w:r w:rsidRPr="00625FD7">
              <w:rPr>
                <w:sz w:val="21"/>
                <w:szCs w:val="21"/>
              </w:rPr>
              <w:t>60-100%</w:t>
            </w:r>
          </w:p>
        </w:tc>
        <w:tc>
          <w:tcPr>
            <w:tcW w:w="1985" w:type="dxa"/>
          </w:tcPr>
          <w:p w14:paraId="68E95E44" w14:textId="77777777" w:rsidR="00AA2148" w:rsidRPr="00625FD7" w:rsidRDefault="00B771E4" w:rsidP="009F5666">
            <w:pPr>
              <w:jc w:val="center"/>
              <w:rPr>
                <w:sz w:val="21"/>
                <w:szCs w:val="21"/>
              </w:rPr>
            </w:pPr>
            <w:r w:rsidRPr="00625FD7">
              <w:rPr>
                <w:sz w:val="21"/>
                <w:szCs w:val="21"/>
              </w:rPr>
              <w:t>34-74%</w:t>
            </w:r>
          </w:p>
        </w:tc>
      </w:tr>
      <w:tr w:rsidR="00AA2148" w:rsidRPr="00625FD7" w14:paraId="4340E822" w14:textId="77777777" w:rsidTr="0099205B">
        <w:tc>
          <w:tcPr>
            <w:tcW w:w="1411" w:type="dxa"/>
          </w:tcPr>
          <w:p w14:paraId="2A0A5141" w14:textId="77777777" w:rsidR="00AA2148" w:rsidRPr="00625FD7" w:rsidRDefault="00B771E4" w:rsidP="009F5666">
            <w:pPr>
              <w:jc w:val="center"/>
              <w:rPr>
                <w:sz w:val="21"/>
                <w:szCs w:val="21"/>
              </w:rPr>
            </w:pPr>
            <w:r w:rsidRPr="00625FD7">
              <w:rPr>
                <w:sz w:val="21"/>
                <w:szCs w:val="21"/>
              </w:rPr>
              <w:t>2020</w:t>
            </w:r>
          </w:p>
        </w:tc>
        <w:tc>
          <w:tcPr>
            <w:tcW w:w="1849" w:type="dxa"/>
          </w:tcPr>
          <w:p w14:paraId="68DC00DB" w14:textId="77777777" w:rsidR="00AA2148" w:rsidRPr="00625FD7" w:rsidRDefault="00B771E4" w:rsidP="009F5666">
            <w:pPr>
              <w:jc w:val="center"/>
              <w:rPr>
                <w:sz w:val="21"/>
                <w:szCs w:val="21"/>
              </w:rPr>
            </w:pPr>
            <w:r w:rsidRPr="00625FD7">
              <w:rPr>
                <w:sz w:val="21"/>
                <w:szCs w:val="21"/>
              </w:rPr>
              <w:t>25%</w:t>
            </w:r>
          </w:p>
        </w:tc>
        <w:tc>
          <w:tcPr>
            <w:tcW w:w="1984" w:type="dxa"/>
          </w:tcPr>
          <w:p w14:paraId="5B19AE05" w14:textId="77777777" w:rsidR="00AA2148" w:rsidRPr="00625FD7" w:rsidRDefault="00B771E4" w:rsidP="009F5666">
            <w:pPr>
              <w:jc w:val="center"/>
              <w:rPr>
                <w:sz w:val="21"/>
                <w:szCs w:val="21"/>
              </w:rPr>
            </w:pPr>
            <w:r w:rsidRPr="00625FD7">
              <w:rPr>
                <w:sz w:val="21"/>
                <w:szCs w:val="21"/>
              </w:rPr>
              <w:t>60-100%</w:t>
            </w:r>
          </w:p>
        </w:tc>
        <w:tc>
          <w:tcPr>
            <w:tcW w:w="1985" w:type="dxa"/>
          </w:tcPr>
          <w:p w14:paraId="0335D534" w14:textId="77777777" w:rsidR="00AA2148" w:rsidRPr="00625FD7" w:rsidRDefault="00B771E4" w:rsidP="009F5666">
            <w:pPr>
              <w:jc w:val="center"/>
              <w:rPr>
                <w:sz w:val="21"/>
                <w:szCs w:val="21"/>
              </w:rPr>
            </w:pPr>
            <w:r w:rsidRPr="00625FD7">
              <w:rPr>
                <w:sz w:val="21"/>
                <w:szCs w:val="21"/>
              </w:rPr>
              <w:t>35-75%</w:t>
            </w:r>
          </w:p>
        </w:tc>
      </w:tr>
      <w:tr w:rsidR="00AA2148" w:rsidRPr="00625FD7" w14:paraId="7F988954" w14:textId="77777777" w:rsidTr="0099205B">
        <w:tc>
          <w:tcPr>
            <w:tcW w:w="1411" w:type="dxa"/>
          </w:tcPr>
          <w:p w14:paraId="2C163BB1" w14:textId="77777777" w:rsidR="00AA2148" w:rsidRPr="00625FD7" w:rsidRDefault="00B771E4" w:rsidP="009F5666">
            <w:pPr>
              <w:jc w:val="center"/>
              <w:rPr>
                <w:sz w:val="21"/>
                <w:szCs w:val="21"/>
              </w:rPr>
            </w:pPr>
            <w:r w:rsidRPr="00625FD7">
              <w:rPr>
                <w:sz w:val="21"/>
                <w:szCs w:val="21"/>
              </w:rPr>
              <w:t>2021</w:t>
            </w:r>
          </w:p>
        </w:tc>
        <w:tc>
          <w:tcPr>
            <w:tcW w:w="1849" w:type="dxa"/>
          </w:tcPr>
          <w:p w14:paraId="6BFCCFE3" w14:textId="77777777" w:rsidR="00AA2148" w:rsidRPr="00625FD7" w:rsidRDefault="00B771E4" w:rsidP="009F5666">
            <w:pPr>
              <w:jc w:val="center"/>
              <w:rPr>
                <w:sz w:val="21"/>
                <w:szCs w:val="21"/>
              </w:rPr>
            </w:pPr>
            <w:r w:rsidRPr="00625FD7">
              <w:rPr>
                <w:sz w:val="21"/>
                <w:szCs w:val="21"/>
              </w:rPr>
              <w:t>22%</w:t>
            </w:r>
          </w:p>
        </w:tc>
        <w:tc>
          <w:tcPr>
            <w:tcW w:w="1984" w:type="dxa"/>
          </w:tcPr>
          <w:p w14:paraId="5CC02875" w14:textId="77777777" w:rsidR="00AA2148" w:rsidRPr="00625FD7" w:rsidRDefault="00B771E4" w:rsidP="009F5666">
            <w:pPr>
              <w:jc w:val="center"/>
              <w:rPr>
                <w:sz w:val="21"/>
                <w:szCs w:val="21"/>
              </w:rPr>
            </w:pPr>
            <w:r w:rsidRPr="00625FD7">
              <w:rPr>
                <w:sz w:val="21"/>
                <w:szCs w:val="21"/>
              </w:rPr>
              <w:t>60-100%</w:t>
            </w:r>
          </w:p>
        </w:tc>
        <w:tc>
          <w:tcPr>
            <w:tcW w:w="1985" w:type="dxa"/>
          </w:tcPr>
          <w:p w14:paraId="52DCE70C" w14:textId="77777777" w:rsidR="00AA2148" w:rsidRPr="00625FD7" w:rsidRDefault="00B771E4" w:rsidP="009F5666">
            <w:pPr>
              <w:jc w:val="center"/>
              <w:rPr>
                <w:sz w:val="21"/>
                <w:szCs w:val="21"/>
              </w:rPr>
            </w:pPr>
            <w:r w:rsidRPr="00625FD7">
              <w:rPr>
                <w:sz w:val="21"/>
                <w:szCs w:val="21"/>
              </w:rPr>
              <w:t>38-78%</w:t>
            </w:r>
          </w:p>
        </w:tc>
      </w:tr>
      <w:tr w:rsidR="00AA2148" w:rsidRPr="00625FD7" w14:paraId="7D40B43E" w14:textId="77777777" w:rsidTr="0099205B">
        <w:tc>
          <w:tcPr>
            <w:tcW w:w="1411" w:type="dxa"/>
          </w:tcPr>
          <w:p w14:paraId="19D950C8" w14:textId="77777777" w:rsidR="00AA2148" w:rsidRPr="00625FD7" w:rsidRDefault="00B771E4" w:rsidP="009F5666">
            <w:pPr>
              <w:jc w:val="center"/>
              <w:rPr>
                <w:sz w:val="21"/>
                <w:szCs w:val="21"/>
              </w:rPr>
            </w:pPr>
            <w:r w:rsidRPr="00625FD7">
              <w:rPr>
                <w:sz w:val="21"/>
                <w:szCs w:val="21"/>
              </w:rPr>
              <w:t>2022</w:t>
            </w:r>
          </w:p>
        </w:tc>
        <w:tc>
          <w:tcPr>
            <w:tcW w:w="1849" w:type="dxa"/>
          </w:tcPr>
          <w:p w14:paraId="40FCC679" w14:textId="77777777" w:rsidR="00AA2148" w:rsidRPr="00625FD7" w:rsidRDefault="00B771E4" w:rsidP="009F5666">
            <w:pPr>
              <w:jc w:val="center"/>
              <w:rPr>
                <w:sz w:val="21"/>
                <w:szCs w:val="21"/>
              </w:rPr>
            </w:pPr>
            <w:r w:rsidRPr="00625FD7">
              <w:rPr>
                <w:sz w:val="21"/>
                <w:szCs w:val="21"/>
              </w:rPr>
              <w:t>18%</w:t>
            </w:r>
          </w:p>
        </w:tc>
        <w:tc>
          <w:tcPr>
            <w:tcW w:w="1984" w:type="dxa"/>
          </w:tcPr>
          <w:p w14:paraId="3C56E42D" w14:textId="77777777" w:rsidR="00AA2148" w:rsidRPr="00625FD7" w:rsidRDefault="00B771E4" w:rsidP="009F5666">
            <w:pPr>
              <w:jc w:val="center"/>
              <w:rPr>
                <w:sz w:val="21"/>
                <w:szCs w:val="21"/>
              </w:rPr>
            </w:pPr>
            <w:r w:rsidRPr="00625FD7">
              <w:rPr>
                <w:sz w:val="21"/>
                <w:szCs w:val="21"/>
              </w:rPr>
              <w:t>60-100%</w:t>
            </w:r>
          </w:p>
        </w:tc>
        <w:tc>
          <w:tcPr>
            <w:tcW w:w="1985" w:type="dxa"/>
          </w:tcPr>
          <w:p w14:paraId="6C7C727A" w14:textId="77777777" w:rsidR="00AA2148" w:rsidRPr="00625FD7" w:rsidRDefault="00B771E4" w:rsidP="009F5666">
            <w:pPr>
              <w:jc w:val="center"/>
              <w:rPr>
                <w:sz w:val="21"/>
                <w:szCs w:val="21"/>
              </w:rPr>
            </w:pPr>
            <w:r w:rsidRPr="00625FD7">
              <w:rPr>
                <w:sz w:val="21"/>
                <w:szCs w:val="21"/>
              </w:rPr>
              <w:t>42-82%</w:t>
            </w:r>
          </w:p>
        </w:tc>
      </w:tr>
      <w:tr w:rsidR="00AA2148" w:rsidRPr="00625FD7" w14:paraId="442DA4D9" w14:textId="77777777" w:rsidTr="0099205B">
        <w:tc>
          <w:tcPr>
            <w:tcW w:w="1411" w:type="dxa"/>
          </w:tcPr>
          <w:p w14:paraId="364FAD87" w14:textId="77777777" w:rsidR="00AA2148" w:rsidRPr="00625FD7" w:rsidRDefault="00B771E4" w:rsidP="009F5666">
            <w:pPr>
              <w:jc w:val="center"/>
              <w:rPr>
                <w:sz w:val="21"/>
                <w:szCs w:val="21"/>
              </w:rPr>
            </w:pPr>
            <w:r w:rsidRPr="00625FD7">
              <w:rPr>
                <w:sz w:val="21"/>
                <w:szCs w:val="21"/>
              </w:rPr>
              <w:t>2023</w:t>
            </w:r>
          </w:p>
        </w:tc>
        <w:tc>
          <w:tcPr>
            <w:tcW w:w="1849" w:type="dxa"/>
          </w:tcPr>
          <w:p w14:paraId="29C0E963" w14:textId="77777777" w:rsidR="00AA2148" w:rsidRPr="00625FD7" w:rsidRDefault="00B771E4" w:rsidP="009F5666">
            <w:pPr>
              <w:jc w:val="center"/>
              <w:rPr>
                <w:sz w:val="21"/>
                <w:szCs w:val="21"/>
              </w:rPr>
            </w:pPr>
            <w:r w:rsidRPr="00625FD7">
              <w:rPr>
                <w:sz w:val="21"/>
                <w:szCs w:val="21"/>
              </w:rPr>
              <w:t>11%</w:t>
            </w:r>
          </w:p>
        </w:tc>
        <w:tc>
          <w:tcPr>
            <w:tcW w:w="1984" w:type="dxa"/>
          </w:tcPr>
          <w:p w14:paraId="68C65088" w14:textId="77777777" w:rsidR="00AA2148" w:rsidRPr="00625FD7" w:rsidRDefault="00B771E4" w:rsidP="009F5666">
            <w:pPr>
              <w:jc w:val="center"/>
              <w:rPr>
                <w:sz w:val="21"/>
                <w:szCs w:val="21"/>
              </w:rPr>
            </w:pPr>
            <w:r w:rsidRPr="00625FD7">
              <w:rPr>
                <w:sz w:val="21"/>
                <w:szCs w:val="21"/>
              </w:rPr>
              <w:t>60-100%</w:t>
            </w:r>
          </w:p>
        </w:tc>
        <w:tc>
          <w:tcPr>
            <w:tcW w:w="1985" w:type="dxa"/>
          </w:tcPr>
          <w:p w14:paraId="1B0C5BE2" w14:textId="77777777" w:rsidR="00AA2148" w:rsidRPr="00625FD7" w:rsidRDefault="00B771E4" w:rsidP="009F5666">
            <w:pPr>
              <w:jc w:val="center"/>
              <w:rPr>
                <w:sz w:val="21"/>
                <w:szCs w:val="21"/>
              </w:rPr>
            </w:pPr>
            <w:r w:rsidRPr="00625FD7">
              <w:rPr>
                <w:sz w:val="21"/>
                <w:szCs w:val="21"/>
              </w:rPr>
              <w:t>49-89%</w:t>
            </w:r>
          </w:p>
        </w:tc>
      </w:tr>
      <w:tr w:rsidR="00AA2148" w:rsidRPr="00625FD7" w14:paraId="54E333B0" w14:textId="77777777" w:rsidTr="0099205B">
        <w:tc>
          <w:tcPr>
            <w:tcW w:w="1411" w:type="dxa"/>
          </w:tcPr>
          <w:p w14:paraId="2619F811" w14:textId="77777777" w:rsidR="00AA2148" w:rsidRPr="00625FD7" w:rsidRDefault="00B771E4" w:rsidP="009F5666">
            <w:pPr>
              <w:jc w:val="center"/>
              <w:rPr>
                <w:sz w:val="21"/>
                <w:szCs w:val="21"/>
              </w:rPr>
            </w:pPr>
            <w:r w:rsidRPr="00625FD7">
              <w:rPr>
                <w:sz w:val="21"/>
                <w:szCs w:val="21"/>
              </w:rPr>
              <w:t>2024</w:t>
            </w:r>
          </w:p>
        </w:tc>
        <w:tc>
          <w:tcPr>
            <w:tcW w:w="1849" w:type="dxa"/>
          </w:tcPr>
          <w:p w14:paraId="4D4E78D8" w14:textId="77777777" w:rsidR="00AA2148" w:rsidRPr="00625FD7" w:rsidRDefault="00B771E4" w:rsidP="009F5666">
            <w:pPr>
              <w:jc w:val="center"/>
              <w:rPr>
                <w:sz w:val="21"/>
                <w:szCs w:val="21"/>
              </w:rPr>
            </w:pPr>
            <w:r w:rsidRPr="00625FD7">
              <w:rPr>
                <w:sz w:val="21"/>
                <w:szCs w:val="21"/>
              </w:rPr>
              <w:t>8%</w:t>
            </w:r>
          </w:p>
        </w:tc>
        <w:tc>
          <w:tcPr>
            <w:tcW w:w="1984" w:type="dxa"/>
          </w:tcPr>
          <w:p w14:paraId="567EDA0C" w14:textId="77777777" w:rsidR="00AA2148" w:rsidRPr="00625FD7" w:rsidRDefault="00B771E4" w:rsidP="009F5666">
            <w:pPr>
              <w:jc w:val="center"/>
              <w:rPr>
                <w:sz w:val="21"/>
                <w:szCs w:val="21"/>
              </w:rPr>
            </w:pPr>
            <w:r w:rsidRPr="00625FD7">
              <w:rPr>
                <w:sz w:val="21"/>
                <w:szCs w:val="21"/>
              </w:rPr>
              <w:t>60-100%</w:t>
            </w:r>
          </w:p>
        </w:tc>
        <w:tc>
          <w:tcPr>
            <w:tcW w:w="1985" w:type="dxa"/>
          </w:tcPr>
          <w:p w14:paraId="5B7FE78F" w14:textId="77777777" w:rsidR="00AA2148" w:rsidRPr="00625FD7" w:rsidRDefault="00B771E4" w:rsidP="009F5666">
            <w:pPr>
              <w:jc w:val="center"/>
              <w:rPr>
                <w:sz w:val="21"/>
                <w:szCs w:val="21"/>
              </w:rPr>
            </w:pPr>
            <w:r w:rsidRPr="00625FD7">
              <w:rPr>
                <w:sz w:val="21"/>
                <w:szCs w:val="21"/>
              </w:rPr>
              <w:t>52-92%</w:t>
            </w:r>
          </w:p>
        </w:tc>
      </w:tr>
    </w:tbl>
    <w:p w14:paraId="2B42BF81" w14:textId="77777777" w:rsidR="00E66E09" w:rsidRDefault="00E66E09" w:rsidP="00E66E09">
      <w:pPr>
        <w:spacing w:after="0"/>
        <w:jc w:val="both"/>
      </w:pPr>
    </w:p>
    <w:p w14:paraId="3AB9862A" w14:textId="77777777" w:rsidR="00AA2148" w:rsidRPr="00625FD7" w:rsidRDefault="00B771E4" w:rsidP="009F5666">
      <w:pPr>
        <w:jc w:val="both"/>
        <w:rPr>
          <w:sz w:val="23"/>
          <w:szCs w:val="23"/>
        </w:rPr>
      </w:pPr>
      <w:r w:rsidRPr="00625FD7">
        <w:rPr>
          <w:sz w:val="23"/>
          <w:szCs w:val="23"/>
        </w:rPr>
        <w:lastRenderedPageBreak/>
        <w:t>The untapped borrowing capacity at industry-norm gearing of 60% would provide FJD 250-350 million in additional financing</w:t>
      </w:r>
      <w:r w:rsidR="009F5666" w:rsidRPr="00625FD7">
        <w:rPr>
          <w:sz w:val="23"/>
          <w:szCs w:val="23"/>
        </w:rPr>
        <w:t xml:space="preserve"> - </w:t>
      </w:r>
      <w:r w:rsidRPr="00625FD7">
        <w:rPr>
          <w:sz w:val="23"/>
          <w:szCs w:val="23"/>
        </w:rPr>
        <w:t>a substantial portion of the claimed capital requirement</w:t>
      </w:r>
      <w:r w:rsidR="009F5666" w:rsidRPr="00625FD7">
        <w:rPr>
          <w:sz w:val="23"/>
          <w:szCs w:val="23"/>
        </w:rPr>
        <w:t xml:space="preserve"> - </w:t>
      </w:r>
      <w:r w:rsidRPr="00625FD7">
        <w:rPr>
          <w:sz w:val="23"/>
          <w:szCs w:val="23"/>
        </w:rPr>
        <w:t>without any consumer tariff increase.</w:t>
      </w:r>
    </w:p>
    <w:p w14:paraId="7A5CCBFA" w14:textId="77777777" w:rsidR="00AA2148" w:rsidRPr="00625FD7" w:rsidRDefault="00B771E4">
      <w:pPr>
        <w:pStyle w:val="Heading2"/>
        <w:rPr>
          <w:sz w:val="28"/>
        </w:rPr>
      </w:pPr>
      <w:r w:rsidRPr="00625FD7">
        <w:rPr>
          <w:color w:val="000000"/>
          <w:sz w:val="28"/>
        </w:rPr>
        <w:t>3.3 Customer Deposits: Consumer Pre-Funding of EFL Operations</w:t>
      </w:r>
    </w:p>
    <w:p w14:paraId="550A240A" w14:textId="77777777" w:rsidR="00AA2148" w:rsidRPr="00625FD7" w:rsidRDefault="00B771E4" w:rsidP="009F5666">
      <w:pPr>
        <w:jc w:val="both"/>
        <w:rPr>
          <w:sz w:val="23"/>
          <w:szCs w:val="23"/>
        </w:rPr>
      </w:pPr>
      <w:r w:rsidRPr="00625FD7">
        <w:rPr>
          <w:sz w:val="23"/>
          <w:szCs w:val="23"/>
        </w:rPr>
        <w:t>EFL holds substantial customer security deposits that provide interest-free financing from consumers. These deposits</w:t>
      </w:r>
      <w:r w:rsidR="009F5666" w:rsidRPr="00625FD7">
        <w:rPr>
          <w:sz w:val="23"/>
          <w:szCs w:val="23"/>
        </w:rPr>
        <w:t xml:space="preserve"> - </w:t>
      </w:r>
      <w:r w:rsidRPr="00625FD7">
        <w:rPr>
          <w:sz w:val="23"/>
          <w:szCs w:val="23"/>
        </w:rPr>
        <w:t>FJD 31.2 million in 2024 and FJD 28.9 million in 2023</w:t>
      </w:r>
      <w:r w:rsidR="009F5666" w:rsidRPr="00625FD7">
        <w:rPr>
          <w:sz w:val="23"/>
          <w:szCs w:val="23"/>
        </w:rPr>
        <w:t xml:space="preserve"> - </w:t>
      </w:r>
      <w:r w:rsidRPr="00625FD7">
        <w:rPr>
          <w:sz w:val="23"/>
          <w:szCs w:val="23"/>
        </w:rPr>
        <w:t>represent another source of capital that consumers have already provided to EFL before any tariff determination. The pattern of using customer deposits as low-cost working capital while simultaneously claiming that consumers must fund capital expenditure through tariff increases warrants scrutiny.</w:t>
      </w:r>
    </w:p>
    <w:tbl>
      <w:tblPr>
        <w:tblW w:w="0" w:type="auto"/>
        <w:jc w:val="center"/>
        <w:tblLook w:val="04A0" w:firstRow="1" w:lastRow="0" w:firstColumn="1" w:lastColumn="0" w:noHBand="0" w:noVBand="1"/>
      </w:tblPr>
      <w:tblGrid>
        <w:gridCol w:w="8640"/>
      </w:tblGrid>
      <w:tr w:rsidR="00AA2148" w14:paraId="7E0BBA87" w14:textId="77777777">
        <w:trPr>
          <w:jc w:val="center"/>
        </w:trPr>
        <w:tc>
          <w:tcPr>
            <w:tcW w:w="8640" w:type="dxa"/>
            <w:shd w:val="clear" w:color="auto" w:fill="E8F4F8"/>
          </w:tcPr>
          <w:p w14:paraId="011574F8" w14:textId="77777777" w:rsidR="00AA2148" w:rsidRPr="00625FD7" w:rsidRDefault="00B771E4">
            <w:pPr>
              <w:rPr>
                <w:sz w:val="23"/>
                <w:szCs w:val="23"/>
              </w:rPr>
            </w:pPr>
            <w:r w:rsidRPr="00625FD7">
              <w:rPr>
                <w:b/>
                <w:sz w:val="23"/>
                <w:szCs w:val="23"/>
              </w:rPr>
              <w:t>Key Points – Section 3:</w:t>
            </w:r>
          </w:p>
          <w:p w14:paraId="2F34FFB3" w14:textId="77777777" w:rsidR="00AA2148" w:rsidRPr="00625FD7" w:rsidRDefault="00B771E4" w:rsidP="00066304">
            <w:pPr>
              <w:pStyle w:val="ListBullet"/>
              <w:spacing w:line="300" w:lineRule="auto"/>
              <w:ind w:left="357" w:hanging="357"/>
              <w:jc w:val="both"/>
              <w:rPr>
                <w:sz w:val="21"/>
                <w:szCs w:val="21"/>
              </w:rPr>
            </w:pPr>
            <w:r w:rsidRPr="00625FD7">
              <w:rPr>
                <w:sz w:val="21"/>
                <w:szCs w:val="21"/>
              </w:rPr>
              <w:t xml:space="preserve">EFL paid FJD 41 million in dividends in 2023 despite recording </w:t>
            </w:r>
            <w:proofErr w:type="gramStart"/>
            <w:r w:rsidRPr="00625FD7">
              <w:rPr>
                <w:sz w:val="21"/>
                <w:szCs w:val="21"/>
              </w:rPr>
              <w:t>a</w:t>
            </w:r>
            <w:proofErr w:type="gramEnd"/>
            <w:r w:rsidRPr="00625FD7">
              <w:rPr>
                <w:sz w:val="21"/>
                <w:szCs w:val="21"/>
              </w:rPr>
              <w:t xml:space="preserve"> FJD 28 million loss</w:t>
            </w:r>
            <w:r w:rsidR="009F5666" w:rsidRPr="00625FD7">
              <w:rPr>
                <w:sz w:val="21"/>
                <w:szCs w:val="21"/>
              </w:rPr>
              <w:t xml:space="preserve"> -</w:t>
            </w:r>
            <w:r w:rsidRPr="00625FD7">
              <w:rPr>
                <w:sz w:val="21"/>
                <w:szCs w:val="21"/>
              </w:rPr>
              <w:t>demonstrating prioritization of shareholder returns over capital retention.</w:t>
            </w:r>
          </w:p>
          <w:p w14:paraId="1F4232F3" w14:textId="77777777" w:rsidR="00AA2148" w:rsidRPr="00625FD7" w:rsidRDefault="00B771E4" w:rsidP="00066304">
            <w:pPr>
              <w:pStyle w:val="ListBullet"/>
              <w:spacing w:line="300" w:lineRule="auto"/>
              <w:ind w:left="357" w:hanging="357"/>
              <w:jc w:val="both"/>
              <w:rPr>
                <w:sz w:val="21"/>
                <w:szCs w:val="21"/>
              </w:rPr>
            </w:pPr>
            <w:r w:rsidRPr="00625FD7">
              <w:rPr>
                <w:sz w:val="21"/>
                <w:szCs w:val="21"/>
              </w:rPr>
              <w:t>Gearing of 8-26% versus industry norm of 60-100% represents FJD 250-350 million in untapped borrowing capacity that should be utilized before consumer extraction.</w:t>
            </w:r>
          </w:p>
          <w:p w14:paraId="49A946BE" w14:textId="77777777" w:rsidR="00AA2148" w:rsidRDefault="00B771E4" w:rsidP="00066304">
            <w:pPr>
              <w:pStyle w:val="ListBullet"/>
              <w:spacing w:line="300" w:lineRule="auto"/>
              <w:ind w:left="357" w:hanging="357"/>
              <w:jc w:val="both"/>
            </w:pPr>
            <w:r w:rsidRPr="00625FD7">
              <w:rPr>
                <w:sz w:val="21"/>
                <w:szCs w:val="21"/>
              </w:rPr>
              <w:t>The FJD 1.2 billion received from partial privatization in 2018 has not been reconciled against claimed capital needs—a fundamental gap in the regulatory analysis.</w:t>
            </w:r>
          </w:p>
        </w:tc>
      </w:tr>
    </w:tbl>
    <w:p w14:paraId="22FFCAED" w14:textId="77777777" w:rsidR="00AA2148" w:rsidRPr="00625FD7" w:rsidRDefault="00B771E4">
      <w:pPr>
        <w:pStyle w:val="Heading1"/>
        <w:rPr>
          <w:sz w:val="32"/>
        </w:rPr>
      </w:pPr>
      <w:r w:rsidRPr="00625FD7">
        <w:rPr>
          <w:color w:val="000000"/>
          <w:sz w:val="32"/>
        </w:rPr>
        <w:t>4. STRATEGIC FAILURE: SOLAR AND IPP UNDER-DEPLOYMENT</w:t>
      </w:r>
    </w:p>
    <w:p w14:paraId="4A189F91" w14:textId="77777777" w:rsidR="00AA2148" w:rsidRPr="00625FD7" w:rsidRDefault="00B771E4" w:rsidP="009F5666">
      <w:pPr>
        <w:jc w:val="both"/>
        <w:rPr>
          <w:sz w:val="23"/>
          <w:szCs w:val="23"/>
        </w:rPr>
      </w:pPr>
      <w:r w:rsidRPr="00625FD7">
        <w:rPr>
          <w:sz w:val="23"/>
          <w:szCs w:val="23"/>
        </w:rPr>
        <w:t>The proposed tariff increase would effectively socialize the costs of EFL's strategic failures—particularly its prolonged delay in deploying solar photovoltaic generation despite dramatic global cost declines—to consumers who had no role in making those decisions. This outcome is inconsistent with the Electricity Act's objective of promoting an efficient electricity industry.</w:t>
      </w:r>
    </w:p>
    <w:p w14:paraId="2DAE63BB" w14:textId="77777777" w:rsidR="00AA2148" w:rsidRPr="00625FD7" w:rsidRDefault="00B771E4">
      <w:pPr>
        <w:pStyle w:val="Heading2"/>
        <w:rPr>
          <w:sz w:val="28"/>
        </w:rPr>
      </w:pPr>
      <w:r w:rsidRPr="00625FD7">
        <w:rPr>
          <w:color w:val="000000"/>
          <w:sz w:val="28"/>
        </w:rPr>
        <w:t>4.1 Global Solar Cost Revolution</w:t>
      </w:r>
    </w:p>
    <w:p w14:paraId="1634BF8C" w14:textId="77777777" w:rsidR="00AA2148" w:rsidRPr="00625FD7" w:rsidRDefault="00B771E4" w:rsidP="009F5666">
      <w:pPr>
        <w:jc w:val="both"/>
        <w:rPr>
          <w:sz w:val="23"/>
          <w:szCs w:val="23"/>
        </w:rPr>
      </w:pPr>
      <w:r w:rsidRPr="00625FD7">
        <w:rPr>
          <w:sz w:val="23"/>
          <w:szCs w:val="23"/>
        </w:rPr>
        <w:t>Over the past decade, utility-scale solar PV costs have declined by 85-90% globally. According to IRENA, the global weighted-average levelized cost of electricity (LCOE) from utility-scale solar PV fell from approximately USD 0.38/kWh in 2010 to USD 0.05/kWh by 2022, with further declines to approximately USD 0.04/kWh by 2024. This represents the most dramatic cost decline in energy history.</w:t>
      </w:r>
    </w:p>
    <w:p w14:paraId="00A523B2" w14:textId="77777777" w:rsidR="00AA2148" w:rsidRPr="00625FD7" w:rsidRDefault="00B771E4">
      <w:pPr>
        <w:pStyle w:val="Heading2"/>
        <w:rPr>
          <w:sz w:val="28"/>
        </w:rPr>
      </w:pPr>
      <w:r w:rsidRPr="00625FD7">
        <w:rPr>
          <w:color w:val="000000"/>
          <w:sz w:val="28"/>
        </w:rPr>
        <w:t>4.2 EFL's Negligible Solar Deployment</w:t>
      </w:r>
    </w:p>
    <w:p w14:paraId="5A57223A" w14:textId="77777777" w:rsidR="00AA2148" w:rsidRPr="00625FD7" w:rsidRDefault="00B771E4" w:rsidP="009F5666">
      <w:pPr>
        <w:jc w:val="both"/>
        <w:rPr>
          <w:sz w:val="23"/>
          <w:szCs w:val="23"/>
        </w:rPr>
      </w:pPr>
      <w:r w:rsidRPr="00625FD7">
        <w:rPr>
          <w:sz w:val="23"/>
          <w:szCs w:val="23"/>
        </w:rPr>
        <w:t>Despite Fiji's exceptional solar resource, EFL's generation mix shows negligible solar deployment. The following table illustrates the stark contrast between available renewable technology and EFL's actual generation mix:</w:t>
      </w:r>
    </w:p>
    <w:tbl>
      <w:tblPr>
        <w:tblStyle w:val="TableGrid"/>
        <w:tblW w:w="7422" w:type="dxa"/>
        <w:tblInd w:w="534" w:type="dxa"/>
        <w:tblLook w:val="04A0" w:firstRow="1" w:lastRow="0" w:firstColumn="1" w:lastColumn="0" w:noHBand="0" w:noVBand="1"/>
      </w:tblPr>
      <w:tblGrid>
        <w:gridCol w:w="992"/>
        <w:gridCol w:w="1559"/>
        <w:gridCol w:w="1559"/>
        <w:gridCol w:w="2127"/>
        <w:gridCol w:w="1185"/>
      </w:tblGrid>
      <w:tr w:rsidR="00AA2148" w:rsidRPr="00625FD7" w14:paraId="14F55928" w14:textId="77777777" w:rsidTr="00020067">
        <w:tc>
          <w:tcPr>
            <w:tcW w:w="992" w:type="dxa"/>
            <w:shd w:val="clear" w:color="auto" w:fill="D5E8F0"/>
          </w:tcPr>
          <w:p w14:paraId="5BC8FE9C" w14:textId="77777777" w:rsidR="00AA2148" w:rsidRPr="00625FD7" w:rsidRDefault="00B771E4" w:rsidP="009F5666">
            <w:pPr>
              <w:jc w:val="center"/>
              <w:rPr>
                <w:sz w:val="21"/>
                <w:szCs w:val="21"/>
              </w:rPr>
            </w:pPr>
            <w:r w:rsidRPr="00625FD7">
              <w:rPr>
                <w:b/>
                <w:sz w:val="21"/>
                <w:szCs w:val="21"/>
              </w:rPr>
              <w:t>Year</w:t>
            </w:r>
          </w:p>
        </w:tc>
        <w:tc>
          <w:tcPr>
            <w:tcW w:w="1559" w:type="dxa"/>
            <w:shd w:val="clear" w:color="auto" w:fill="D5E8F0"/>
          </w:tcPr>
          <w:p w14:paraId="48DC8F6C" w14:textId="77777777" w:rsidR="00AA2148" w:rsidRPr="00625FD7" w:rsidRDefault="00B771E4" w:rsidP="009F5666">
            <w:pPr>
              <w:jc w:val="center"/>
              <w:rPr>
                <w:sz w:val="21"/>
                <w:szCs w:val="21"/>
              </w:rPr>
            </w:pPr>
            <w:r w:rsidRPr="00625FD7">
              <w:rPr>
                <w:b/>
                <w:sz w:val="21"/>
                <w:szCs w:val="21"/>
              </w:rPr>
              <w:t>Diesel (GWh)</w:t>
            </w:r>
          </w:p>
        </w:tc>
        <w:tc>
          <w:tcPr>
            <w:tcW w:w="1559" w:type="dxa"/>
            <w:shd w:val="clear" w:color="auto" w:fill="D5E8F0"/>
          </w:tcPr>
          <w:p w14:paraId="5076F986" w14:textId="77777777" w:rsidR="00AA2148" w:rsidRPr="00625FD7" w:rsidRDefault="00B771E4" w:rsidP="009F5666">
            <w:pPr>
              <w:jc w:val="center"/>
              <w:rPr>
                <w:sz w:val="21"/>
                <w:szCs w:val="21"/>
              </w:rPr>
            </w:pPr>
            <w:r w:rsidRPr="00625FD7">
              <w:rPr>
                <w:b/>
                <w:sz w:val="21"/>
                <w:szCs w:val="21"/>
              </w:rPr>
              <w:t>Hydro (GWh)</w:t>
            </w:r>
          </w:p>
        </w:tc>
        <w:tc>
          <w:tcPr>
            <w:tcW w:w="2127" w:type="dxa"/>
            <w:shd w:val="clear" w:color="auto" w:fill="D5E8F0"/>
          </w:tcPr>
          <w:p w14:paraId="7F4F7AF8" w14:textId="77777777" w:rsidR="00AA2148" w:rsidRPr="00625FD7" w:rsidRDefault="00B771E4" w:rsidP="009F5666">
            <w:pPr>
              <w:jc w:val="center"/>
              <w:rPr>
                <w:sz w:val="21"/>
                <w:szCs w:val="21"/>
              </w:rPr>
            </w:pPr>
            <w:r w:rsidRPr="00625FD7">
              <w:rPr>
                <w:b/>
                <w:sz w:val="21"/>
                <w:szCs w:val="21"/>
              </w:rPr>
              <w:t>Solar/Wind (GWh)</w:t>
            </w:r>
          </w:p>
        </w:tc>
        <w:tc>
          <w:tcPr>
            <w:tcW w:w="1185" w:type="dxa"/>
            <w:shd w:val="clear" w:color="auto" w:fill="D5E8F0"/>
          </w:tcPr>
          <w:p w14:paraId="272D6E83" w14:textId="77777777" w:rsidR="00AA2148" w:rsidRPr="00625FD7" w:rsidRDefault="00B771E4" w:rsidP="009F5666">
            <w:pPr>
              <w:jc w:val="center"/>
              <w:rPr>
                <w:sz w:val="21"/>
                <w:szCs w:val="21"/>
              </w:rPr>
            </w:pPr>
            <w:r w:rsidRPr="00625FD7">
              <w:rPr>
                <w:b/>
                <w:sz w:val="21"/>
                <w:szCs w:val="21"/>
              </w:rPr>
              <w:t>Solar %</w:t>
            </w:r>
          </w:p>
        </w:tc>
      </w:tr>
      <w:tr w:rsidR="00AA2148" w:rsidRPr="00625FD7" w14:paraId="73DA29D0" w14:textId="77777777" w:rsidTr="00020067">
        <w:tc>
          <w:tcPr>
            <w:tcW w:w="992" w:type="dxa"/>
          </w:tcPr>
          <w:p w14:paraId="236A0489" w14:textId="77777777" w:rsidR="00AA2148" w:rsidRPr="00625FD7" w:rsidRDefault="00B771E4" w:rsidP="009F5666">
            <w:pPr>
              <w:jc w:val="center"/>
              <w:rPr>
                <w:sz w:val="21"/>
                <w:szCs w:val="21"/>
              </w:rPr>
            </w:pPr>
            <w:r w:rsidRPr="00625FD7">
              <w:rPr>
                <w:sz w:val="21"/>
                <w:szCs w:val="21"/>
              </w:rPr>
              <w:t>2019</w:t>
            </w:r>
          </w:p>
        </w:tc>
        <w:tc>
          <w:tcPr>
            <w:tcW w:w="1559" w:type="dxa"/>
          </w:tcPr>
          <w:p w14:paraId="353CCDAB" w14:textId="77777777" w:rsidR="00AA2148" w:rsidRPr="00625FD7" w:rsidRDefault="00B771E4" w:rsidP="009F5666">
            <w:pPr>
              <w:jc w:val="center"/>
              <w:rPr>
                <w:sz w:val="21"/>
                <w:szCs w:val="21"/>
              </w:rPr>
            </w:pPr>
            <w:r w:rsidRPr="00625FD7">
              <w:rPr>
                <w:sz w:val="21"/>
                <w:szCs w:val="21"/>
              </w:rPr>
              <w:t>438</w:t>
            </w:r>
          </w:p>
        </w:tc>
        <w:tc>
          <w:tcPr>
            <w:tcW w:w="1559" w:type="dxa"/>
          </w:tcPr>
          <w:p w14:paraId="78AAE10D" w14:textId="77777777" w:rsidR="00AA2148" w:rsidRPr="00625FD7" w:rsidRDefault="00B771E4" w:rsidP="009F5666">
            <w:pPr>
              <w:jc w:val="center"/>
              <w:rPr>
                <w:sz w:val="21"/>
                <w:szCs w:val="21"/>
              </w:rPr>
            </w:pPr>
            <w:r w:rsidRPr="00625FD7">
              <w:rPr>
                <w:sz w:val="21"/>
                <w:szCs w:val="21"/>
              </w:rPr>
              <w:t>541</w:t>
            </w:r>
          </w:p>
        </w:tc>
        <w:tc>
          <w:tcPr>
            <w:tcW w:w="2127" w:type="dxa"/>
          </w:tcPr>
          <w:p w14:paraId="4E8897F3" w14:textId="77777777" w:rsidR="00AA2148" w:rsidRPr="00625FD7" w:rsidRDefault="00B771E4" w:rsidP="009F5666">
            <w:pPr>
              <w:jc w:val="center"/>
              <w:rPr>
                <w:sz w:val="21"/>
                <w:szCs w:val="21"/>
              </w:rPr>
            </w:pPr>
            <w:r w:rsidRPr="00625FD7">
              <w:rPr>
                <w:sz w:val="21"/>
                <w:szCs w:val="21"/>
              </w:rPr>
              <w:t>3.0</w:t>
            </w:r>
          </w:p>
        </w:tc>
        <w:tc>
          <w:tcPr>
            <w:tcW w:w="1185" w:type="dxa"/>
          </w:tcPr>
          <w:p w14:paraId="693A123A" w14:textId="77777777" w:rsidR="00AA2148" w:rsidRPr="00625FD7" w:rsidRDefault="00B771E4" w:rsidP="009F5666">
            <w:pPr>
              <w:jc w:val="center"/>
              <w:rPr>
                <w:sz w:val="21"/>
                <w:szCs w:val="21"/>
              </w:rPr>
            </w:pPr>
            <w:r w:rsidRPr="00625FD7">
              <w:rPr>
                <w:sz w:val="21"/>
                <w:szCs w:val="21"/>
              </w:rPr>
              <w:t>0.30%</w:t>
            </w:r>
          </w:p>
        </w:tc>
      </w:tr>
      <w:tr w:rsidR="00AA2148" w:rsidRPr="00625FD7" w14:paraId="6067A576" w14:textId="77777777" w:rsidTr="00020067">
        <w:tc>
          <w:tcPr>
            <w:tcW w:w="992" w:type="dxa"/>
          </w:tcPr>
          <w:p w14:paraId="1382FC3D" w14:textId="77777777" w:rsidR="00AA2148" w:rsidRPr="00625FD7" w:rsidRDefault="00B771E4" w:rsidP="009F5666">
            <w:pPr>
              <w:jc w:val="center"/>
              <w:rPr>
                <w:sz w:val="21"/>
                <w:szCs w:val="21"/>
              </w:rPr>
            </w:pPr>
            <w:r w:rsidRPr="00625FD7">
              <w:rPr>
                <w:sz w:val="21"/>
                <w:szCs w:val="21"/>
              </w:rPr>
              <w:lastRenderedPageBreak/>
              <w:t>2020</w:t>
            </w:r>
          </w:p>
        </w:tc>
        <w:tc>
          <w:tcPr>
            <w:tcW w:w="1559" w:type="dxa"/>
          </w:tcPr>
          <w:p w14:paraId="23136463" w14:textId="77777777" w:rsidR="00AA2148" w:rsidRPr="00625FD7" w:rsidRDefault="00B771E4" w:rsidP="009F5666">
            <w:pPr>
              <w:jc w:val="center"/>
              <w:rPr>
                <w:sz w:val="21"/>
                <w:szCs w:val="21"/>
              </w:rPr>
            </w:pPr>
            <w:r w:rsidRPr="00625FD7">
              <w:rPr>
                <w:sz w:val="21"/>
                <w:szCs w:val="21"/>
              </w:rPr>
              <w:t>418</w:t>
            </w:r>
          </w:p>
        </w:tc>
        <w:tc>
          <w:tcPr>
            <w:tcW w:w="1559" w:type="dxa"/>
          </w:tcPr>
          <w:p w14:paraId="39FEF498" w14:textId="77777777" w:rsidR="00AA2148" w:rsidRPr="00625FD7" w:rsidRDefault="00B771E4" w:rsidP="009F5666">
            <w:pPr>
              <w:jc w:val="center"/>
              <w:rPr>
                <w:sz w:val="21"/>
                <w:szCs w:val="21"/>
              </w:rPr>
            </w:pPr>
            <w:r w:rsidRPr="00625FD7">
              <w:rPr>
                <w:sz w:val="21"/>
                <w:szCs w:val="21"/>
              </w:rPr>
              <w:t>569</w:t>
            </w:r>
          </w:p>
        </w:tc>
        <w:tc>
          <w:tcPr>
            <w:tcW w:w="2127" w:type="dxa"/>
          </w:tcPr>
          <w:p w14:paraId="04FA41C4" w14:textId="77777777" w:rsidR="00AA2148" w:rsidRPr="00625FD7" w:rsidRDefault="00B771E4" w:rsidP="009F5666">
            <w:pPr>
              <w:jc w:val="center"/>
              <w:rPr>
                <w:sz w:val="21"/>
                <w:szCs w:val="21"/>
              </w:rPr>
            </w:pPr>
            <w:r w:rsidRPr="00625FD7">
              <w:rPr>
                <w:sz w:val="21"/>
                <w:szCs w:val="21"/>
              </w:rPr>
              <w:t>2.2</w:t>
            </w:r>
          </w:p>
        </w:tc>
        <w:tc>
          <w:tcPr>
            <w:tcW w:w="1185" w:type="dxa"/>
          </w:tcPr>
          <w:p w14:paraId="0FB9A7D1" w14:textId="77777777" w:rsidR="00AA2148" w:rsidRPr="00625FD7" w:rsidRDefault="00B771E4" w:rsidP="009F5666">
            <w:pPr>
              <w:jc w:val="center"/>
              <w:rPr>
                <w:sz w:val="21"/>
                <w:szCs w:val="21"/>
              </w:rPr>
            </w:pPr>
            <w:r w:rsidRPr="00625FD7">
              <w:rPr>
                <w:sz w:val="21"/>
                <w:szCs w:val="21"/>
              </w:rPr>
              <w:t>0.22%</w:t>
            </w:r>
          </w:p>
        </w:tc>
      </w:tr>
      <w:tr w:rsidR="00AA2148" w:rsidRPr="00625FD7" w14:paraId="1B655831" w14:textId="77777777" w:rsidTr="00020067">
        <w:tc>
          <w:tcPr>
            <w:tcW w:w="992" w:type="dxa"/>
          </w:tcPr>
          <w:p w14:paraId="034383FA" w14:textId="77777777" w:rsidR="00AA2148" w:rsidRPr="00625FD7" w:rsidRDefault="00B771E4" w:rsidP="009F5666">
            <w:pPr>
              <w:jc w:val="center"/>
              <w:rPr>
                <w:sz w:val="21"/>
                <w:szCs w:val="21"/>
              </w:rPr>
            </w:pPr>
            <w:r w:rsidRPr="00625FD7">
              <w:rPr>
                <w:sz w:val="21"/>
                <w:szCs w:val="21"/>
              </w:rPr>
              <w:t>2021</w:t>
            </w:r>
          </w:p>
        </w:tc>
        <w:tc>
          <w:tcPr>
            <w:tcW w:w="1559" w:type="dxa"/>
          </w:tcPr>
          <w:p w14:paraId="502AB4B5" w14:textId="77777777" w:rsidR="00AA2148" w:rsidRPr="00625FD7" w:rsidRDefault="00B771E4" w:rsidP="009F5666">
            <w:pPr>
              <w:jc w:val="center"/>
              <w:rPr>
                <w:sz w:val="21"/>
                <w:szCs w:val="21"/>
              </w:rPr>
            </w:pPr>
            <w:r w:rsidRPr="00625FD7">
              <w:rPr>
                <w:sz w:val="21"/>
                <w:szCs w:val="21"/>
              </w:rPr>
              <w:t>445</w:t>
            </w:r>
          </w:p>
        </w:tc>
        <w:tc>
          <w:tcPr>
            <w:tcW w:w="1559" w:type="dxa"/>
          </w:tcPr>
          <w:p w14:paraId="11636803" w14:textId="77777777" w:rsidR="00AA2148" w:rsidRPr="00625FD7" w:rsidRDefault="00B771E4" w:rsidP="009F5666">
            <w:pPr>
              <w:jc w:val="center"/>
              <w:rPr>
                <w:sz w:val="21"/>
                <w:szCs w:val="21"/>
              </w:rPr>
            </w:pPr>
            <w:r w:rsidRPr="00625FD7">
              <w:rPr>
                <w:sz w:val="21"/>
                <w:szCs w:val="21"/>
              </w:rPr>
              <w:t>521</w:t>
            </w:r>
          </w:p>
        </w:tc>
        <w:tc>
          <w:tcPr>
            <w:tcW w:w="2127" w:type="dxa"/>
          </w:tcPr>
          <w:p w14:paraId="2D9A06EB" w14:textId="77777777" w:rsidR="00AA2148" w:rsidRPr="00625FD7" w:rsidRDefault="00B771E4" w:rsidP="009F5666">
            <w:pPr>
              <w:jc w:val="center"/>
              <w:rPr>
                <w:sz w:val="21"/>
                <w:szCs w:val="21"/>
              </w:rPr>
            </w:pPr>
            <w:r w:rsidRPr="00625FD7">
              <w:rPr>
                <w:sz w:val="21"/>
                <w:szCs w:val="21"/>
              </w:rPr>
              <w:t>1.5</w:t>
            </w:r>
          </w:p>
        </w:tc>
        <w:tc>
          <w:tcPr>
            <w:tcW w:w="1185" w:type="dxa"/>
          </w:tcPr>
          <w:p w14:paraId="09083852" w14:textId="77777777" w:rsidR="00AA2148" w:rsidRPr="00625FD7" w:rsidRDefault="00B771E4" w:rsidP="009F5666">
            <w:pPr>
              <w:jc w:val="center"/>
              <w:rPr>
                <w:sz w:val="21"/>
                <w:szCs w:val="21"/>
              </w:rPr>
            </w:pPr>
            <w:r w:rsidRPr="00625FD7">
              <w:rPr>
                <w:sz w:val="21"/>
                <w:szCs w:val="21"/>
              </w:rPr>
              <w:t>0.16%</w:t>
            </w:r>
          </w:p>
        </w:tc>
      </w:tr>
      <w:tr w:rsidR="00AA2148" w:rsidRPr="00625FD7" w14:paraId="6A7CED86" w14:textId="77777777" w:rsidTr="00020067">
        <w:tc>
          <w:tcPr>
            <w:tcW w:w="992" w:type="dxa"/>
          </w:tcPr>
          <w:p w14:paraId="19F4FE55" w14:textId="77777777" w:rsidR="00AA2148" w:rsidRPr="00625FD7" w:rsidRDefault="00B771E4" w:rsidP="009F5666">
            <w:pPr>
              <w:jc w:val="center"/>
              <w:rPr>
                <w:sz w:val="21"/>
                <w:szCs w:val="21"/>
              </w:rPr>
            </w:pPr>
            <w:r w:rsidRPr="00625FD7">
              <w:rPr>
                <w:sz w:val="21"/>
                <w:szCs w:val="21"/>
              </w:rPr>
              <w:t>2022</w:t>
            </w:r>
          </w:p>
        </w:tc>
        <w:tc>
          <w:tcPr>
            <w:tcW w:w="1559" w:type="dxa"/>
          </w:tcPr>
          <w:p w14:paraId="66CDD500" w14:textId="77777777" w:rsidR="00AA2148" w:rsidRPr="00625FD7" w:rsidRDefault="00B771E4" w:rsidP="009F5666">
            <w:pPr>
              <w:jc w:val="center"/>
              <w:rPr>
                <w:sz w:val="21"/>
                <w:szCs w:val="21"/>
              </w:rPr>
            </w:pPr>
            <w:r w:rsidRPr="00625FD7">
              <w:rPr>
                <w:sz w:val="21"/>
                <w:szCs w:val="21"/>
              </w:rPr>
              <w:t>489</w:t>
            </w:r>
          </w:p>
        </w:tc>
        <w:tc>
          <w:tcPr>
            <w:tcW w:w="1559" w:type="dxa"/>
          </w:tcPr>
          <w:p w14:paraId="01713DD7" w14:textId="77777777" w:rsidR="00AA2148" w:rsidRPr="00625FD7" w:rsidRDefault="00B771E4" w:rsidP="009F5666">
            <w:pPr>
              <w:jc w:val="center"/>
              <w:rPr>
                <w:sz w:val="21"/>
                <w:szCs w:val="21"/>
              </w:rPr>
            </w:pPr>
            <w:r w:rsidRPr="00625FD7">
              <w:rPr>
                <w:sz w:val="21"/>
                <w:szCs w:val="21"/>
              </w:rPr>
              <w:t>480</w:t>
            </w:r>
          </w:p>
        </w:tc>
        <w:tc>
          <w:tcPr>
            <w:tcW w:w="2127" w:type="dxa"/>
          </w:tcPr>
          <w:p w14:paraId="705E169A" w14:textId="77777777" w:rsidR="00AA2148" w:rsidRPr="00625FD7" w:rsidRDefault="00B771E4" w:rsidP="009F5666">
            <w:pPr>
              <w:jc w:val="center"/>
              <w:rPr>
                <w:sz w:val="21"/>
                <w:szCs w:val="21"/>
              </w:rPr>
            </w:pPr>
            <w:r w:rsidRPr="00625FD7">
              <w:rPr>
                <w:sz w:val="21"/>
                <w:szCs w:val="21"/>
              </w:rPr>
              <w:t>1.2</w:t>
            </w:r>
          </w:p>
        </w:tc>
        <w:tc>
          <w:tcPr>
            <w:tcW w:w="1185" w:type="dxa"/>
          </w:tcPr>
          <w:p w14:paraId="6496064F" w14:textId="77777777" w:rsidR="00AA2148" w:rsidRPr="00625FD7" w:rsidRDefault="00B771E4" w:rsidP="009F5666">
            <w:pPr>
              <w:jc w:val="center"/>
              <w:rPr>
                <w:sz w:val="21"/>
                <w:szCs w:val="21"/>
              </w:rPr>
            </w:pPr>
            <w:r w:rsidRPr="00625FD7">
              <w:rPr>
                <w:sz w:val="21"/>
                <w:szCs w:val="21"/>
              </w:rPr>
              <w:t>0.12%</w:t>
            </w:r>
          </w:p>
        </w:tc>
      </w:tr>
      <w:tr w:rsidR="00AA2148" w:rsidRPr="00625FD7" w14:paraId="44BFE27D" w14:textId="77777777" w:rsidTr="00020067">
        <w:tc>
          <w:tcPr>
            <w:tcW w:w="992" w:type="dxa"/>
          </w:tcPr>
          <w:p w14:paraId="55B10BF0" w14:textId="77777777" w:rsidR="00AA2148" w:rsidRPr="00625FD7" w:rsidRDefault="00B771E4" w:rsidP="009F5666">
            <w:pPr>
              <w:jc w:val="center"/>
              <w:rPr>
                <w:sz w:val="21"/>
                <w:szCs w:val="21"/>
              </w:rPr>
            </w:pPr>
            <w:r w:rsidRPr="00625FD7">
              <w:rPr>
                <w:sz w:val="21"/>
                <w:szCs w:val="21"/>
              </w:rPr>
              <w:t>2023</w:t>
            </w:r>
          </w:p>
        </w:tc>
        <w:tc>
          <w:tcPr>
            <w:tcW w:w="1559" w:type="dxa"/>
          </w:tcPr>
          <w:p w14:paraId="0423E35D" w14:textId="77777777" w:rsidR="00AA2148" w:rsidRPr="00625FD7" w:rsidRDefault="00B771E4" w:rsidP="009F5666">
            <w:pPr>
              <w:jc w:val="center"/>
              <w:rPr>
                <w:sz w:val="21"/>
                <w:szCs w:val="21"/>
              </w:rPr>
            </w:pPr>
            <w:r w:rsidRPr="00625FD7">
              <w:rPr>
                <w:sz w:val="21"/>
                <w:szCs w:val="21"/>
              </w:rPr>
              <w:t>527</w:t>
            </w:r>
          </w:p>
        </w:tc>
        <w:tc>
          <w:tcPr>
            <w:tcW w:w="1559" w:type="dxa"/>
          </w:tcPr>
          <w:p w14:paraId="6FD60CD9" w14:textId="77777777" w:rsidR="00AA2148" w:rsidRPr="00625FD7" w:rsidRDefault="00B771E4" w:rsidP="009F5666">
            <w:pPr>
              <w:jc w:val="center"/>
              <w:rPr>
                <w:sz w:val="21"/>
                <w:szCs w:val="21"/>
              </w:rPr>
            </w:pPr>
            <w:r w:rsidRPr="00625FD7">
              <w:rPr>
                <w:sz w:val="21"/>
                <w:szCs w:val="21"/>
              </w:rPr>
              <w:t>488</w:t>
            </w:r>
          </w:p>
        </w:tc>
        <w:tc>
          <w:tcPr>
            <w:tcW w:w="2127" w:type="dxa"/>
          </w:tcPr>
          <w:p w14:paraId="01B7C52A" w14:textId="77777777" w:rsidR="00AA2148" w:rsidRPr="00625FD7" w:rsidRDefault="00B771E4" w:rsidP="009F5666">
            <w:pPr>
              <w:jc w:val="center"/>
              <w:rPr>
                <w:sz w:val="21"/>
                <w:szCs w:val="21"/>
              </w:rPr>
            </w:pPr>
            <w:r w:rsidRPr="00625FD7">
              <w:rPr>
                <w:sz w:val="21"/>
                <w:szCs w:val="21"/>
              </w:rPr>
              <w:t>1.0</w:t>
            </w:r>
          </w:p>
        </w:tc>
        <w:tc>
          <w:tcPr>
            <w:tcW w:w="1185" w:type="dxa"/>
          </w:tcPr>
          <w:p w14:paraId="02139821" w14:textId="77777777" w:rsidR="00AA2148" w:rsidRPr="00625FD7" w:rsidRDefault="00B771E4" w:rsidP="009F5666">
            <w:pPr>
              <w:jc w:val="center"/>
              <w:rPr>
                <w:sz w:val="21"/>
                <w:szCs w:val="21"/>
              </w:rPr>
            </w:pPr>
            <w:r w:rsidRPr="00625FD7">
              <w:rPr>
                <w:sz w:val="21"/>
                <w:szCs w:val="21"/>
              </w:rPr>
              <w:t>0.10%</w:t>
            </w:r>
          </w:p>
        </w:tc>
      </w:tr>
      <w:tr w:rsidR="00AA2148" w:rsidRPr="00625FD7" w14:paraId="4C9F52EE" w14:textId="77777777" w:rsidTr="00020067">
        <w:tc>
          <w:tcPr>
            <w:tcW w:w="992" w:type="dxa"/>
          </w:tcPr>
          <w:p w14:paraId="10609E3D" w14:textId="77777777" w:rsidR="00AA2148" w:rsidRPr="00625FD7" w:rsidRDefault="00B771E4" w:rsidP="009F5666">
            <w:pPr>
              <w:jc w:val="center"/>
              <w:rPr>
                <w:sz w:val="21"/>
                <w:szCs w:val="21"/>
              </w:rPr>
            </w:pPr>
            <w:r w:rsidRPr="00625FD7">
              <w:rPr>
                <w:sz w:val="21"/>
                <w:szCs w:val="21"/>
              </w:rPr>
              <w:t>2024</w:t>
            </w:r>
          </w:p>
        </w:tc>
        <w:tc>
          <w:tcPr>
            <w:tcW w:w="1559" w:type="dxa"/>
          </w:tcPr>
          <w:p w14:paraId="65A34B45" w14:textId="77777777" w:rsidR="00AA2148" w:rsidRPr="00625FD7" w:rsidRDefault="00B771E4" w:rsidP="009F5666">
            <w:pPr>
              <w:jc w:val="center"/>
              <w:rPr>
                <w:sz w:val="21"/>
                <w:szCs w:val="21"/>
              </w:rPr>
            </w:pPr>
            <w:r w:rsidRPr="00625FD7">
              <w:rPr>
                <w:sz w:val="21"/>
                <w:szCs w:val="21"/>
              </w:rPr>
              <w:t>524</w:t>
            </w:r>
          </w:p>
        </w:tc>
        <w:tc>
          <w:tcPr>
            <w:tcW w:w="1559" w:type="dxa"/>
          </w:tcPr>
          <w:p w14:paraId="448B9059" w14:textId="77777777" w:rsidR="00AA2148" w:rsidRPr="00625FD7" w:rsidRDefault="00B771E4" w:rsidP="009F5666">
            <w:pPr>
              <w:jc w:val="center"/>
              <w:rPr>
                <w:sz w:val="21"/>
                <w:szCs w:val="21"/>
              </w:rPr>
            </w:pPr>
            <w:r w:rsidRPr="00625FD7">
              <w:rPr>
                <w:sz w:val="21"/>
                <w:szCs w:val="21"/>
              </w:rPr>
              <w:t>570</w:t>
            </w:r>
          </w:p>
        </w:tc>
        <w:tc>
          <w:tcPr>
            <w:tcW w:w="2127" w:type="dxa"/>
          </w:tcPr>
          <w:p w14:paraId="392D90F5" w14:textId="77777777" w:rsidR="00AA2148" w:rsidRPr="00625FD7" w:rsidRDefault="00B771E4" w:rsidP="009F5666">
            <w:pPr>
              <w:jc w:val="center"/>
              <w:rPr>
                <w:sz w:val="21"/>
                <w:szCs w:val="21"/>
              </w:rPr>
            </w:pPr>
            <w:r w:rsidRPr="00625FD7">
              <w:rPr>
                <w:sz w:val="21"/>
                <w:szCs w:val="21"/>
              </w:rPr>
              <w:t>0.8</w:t>
            </w:r>
          </w:p>
        </w:tc>
        <w:tc>
          <w:tcPr>
            <w:tcW w:w="1185" w:type="dxa"/>
          </w:tcPr>
          <w:p w14:paraId="241ECCB0" w14:textId="77777777" w:rsidR="00AA2148" w:rsidRPr="00625FD7" w:rsidRDefault="00B771E4" w:rsidP="009F5666">
            <w:pPr>
              <w:jc w:val="center"/>
              <w:rPr>
                <w:sz w:val="21"/>
                <w:szCs w:val="21"/>
              </w:rPr>
            </w:pPr>
            <w:r w:rsidRPr="00625FD7">
              <w:rPr>
                <w:sz w:val="21"/>
                <w:szCs w:val="21"/>
              </w:rPr>
              <w:t>0.07%</w:t>
            </w:r>
          </w:p>
        </w:tc>
      </w:tr>
    </w:tbl>
    <w:p w14:paraId="173D49E2" w14:textId="77777777" w:rsidR="00AA2148" w:rsidRPr="00020067" w:rsidRDefault="00AA2148" w:rsidP="009F5666">
      <w:pPr>
        <w:spacing w:after="0"/>
        <w:rPr>
          <w:sz w:val="20"/>
        </w:rPr>
      </w:pPr>
    </w:p>
    <w:p w14:paraId="25481947" w14:textId="77777777" w:rsidR="00AA2148" w:rsidRPr="00020067" w:rsidRDefault="00B771E4" w:rsidP="009F5666">
      <w:pPr>
        <w:jc w:val="both"/>
        <w:rPr>
          <w:sz w:val="23"/>
          <w:szCs w:val="23"/>
        </w:rPr>
      </w:pPr>
      <w:r w:rsidRPr="00020067">
        <w:rPr>
          <w:sz w:val="23"/>
          <w:szCs w:val="23"/>
        </w:rPr>
        <w:t xml:space="preserve">Solar/wind generation has declined from 3.0 GWh (0.30%) in 2019 to just 0.8 </w:t>
      </w:r>
      <w:r w:rsidRPr="00020067">
        <w:rPr>
          <w:sz w:val="23"/>
          <w:szCs w:val="23"/>
          <w:lang w:val="en-GB"/>
        </w:rPr>
        <w:t>GWh</w:t>
      </w:r>
      <w:r w:rsidRPr="00020067">
        <w:rPr>
          <w:sz w:val="23"/>
          <w:szCs w:val="23"/>
        </w:rPr>
        <w:t xml:space="preserve"> (0.07%) in 2024</w:t>
      </w:r>
      <w:r w:rsidR="009F5666" w:rsidRPr="00020067">
        <w:rPr>
          <w:sz w:val="23"/>
          <w:szCs w:val="23"/>
        </w:rPr>
        <w:t xml:space="preserve"> - </w:t>
      </w:r>
      <w:r w:rsidRPr="00020067">
        <w:rPr>
          <w:sz w:val="23"/>
          <w:szCs w:val="23"/>
        </w:rPr>
        <w:t>a period during which global solar costs fell by approximately 50% and diesel remained Fiji's largest generation source at 500+ GWh annually. This is not technology adoption</w:t>
      </w:r>
      <w:r w:rsidR="009F5666" w:rsidRPr="00020067">
        <w:rPr>
          <w:sz w:val="23"/>
          <w:szCs w:val="23"/>
        </w:rPr>
        <w:t xml:space="preserve"> - </w:t>
      </w:r>
      <w:r w:rsidRPr="00020067">
        <w:rPr>
          <w:sz w:val="23"/>
          <w:szCs w:val="23"/>
        </w:rPr>
        <w:t>it is technology abandonment.</w:t>
      </w:r>
    </w:p>
    <w:p w14:paraId="59FE78C8" w14:textId="77777777" w:rsidR="00AA2148" w:rsidRPr="00020067" w:rsidRDefault="00B771E4">
      <w:pPr>
        <w:pStyle w:val="Heading2"/>
        <w:rPr>
          <w:sz w:val="28"/>
        </w:rPr>
      </w:pPr>
      <w:r w:rsidRPr="00020067">
        <w:rPr>
          <w:color w:val="000000"/>
          <w:sz w:val="28"/>
        </w:rPr>
        <w:t>4.3 Quantified Cost of Strategic Delay</w:t>
      </w:r>
    </w:p>
    <w:p w14:paraId="126C6F25" w14:textId="77777777" w:rsidR="00AA2148" w:rsidRPr="00020067" w:rsidRDefault="00B771E4" w:rsidP="009F5666">
      <w:pPr>
        <w:jc w:val="both"/>
        <w:rPr>
          <w:sz w:val="23"/>
          <w:szCs w:val="23"/>
        </w:rPr>
      </w:pPr>
      <w:r w:rsidRPr="00020067">
        <w:rPr>
          <w:sz w:val="23"/>
          <w:szCs w:val="23"/>
        </w:rPr>
        <w:t>The consequences of EFL's strategic choices became acute during the 2023-2024 drought when hydro output declined and diesel generation was required at elevated post-pandemic fuel prices. Solar generation would have been at maximum output during this dry, sunny period</w:t>
      </w:r>
      <w:r w:rsidR="009F5666" w:rsidRPr="00020067">
        <w:rPr>
          <w:sz w:val="23"/>
          <w:szCs w:val="23"/>
        </w:rPr>
        <w:t xml:space="preserve"> - </w:t>
      </w:r>
      <w:r w:rsidRPr="00020067">
        <w:rPr>
          <w:sz w:val="23"/>
          <w:szCs w:val="23"/>
        </w:rPr>
        <w:t>precisely hedging the drought risk that materialized.</w:t>
      </w:r>
    </w:p>
    <w:tbl>
      <w:tblPr>
        <w:tblStyle w:val="TableGrid"/>
        <w:tblW w:w="8738" w:type="dxa"/>
        <w:tblInd w:w="250" w:type="dxa"/>
        <w:tblLook w:val="04A0" w:firstRow="1" w:lastRow="0" w:firstColumn="1" w:lastColumn="0" w:noHBand="0" w:noVBand="1"/>
      </w:tblPr>
      <w:tblGrid>
        <w:gridCol w:w="1831"/>
        <w:gridCol w:w="1855"/>
        <w:gridCol w:w="2409"/>
        <w:gridCol w:w="991"/>
        <w:gridCol w:w="1652"/>
      </w:tblGrid>
      <w:tr w:rsidR="00AA2148" w:rsidRPr="00020067" w14:paraId="4281DBE0" w14:textId="77777777" w:rsidTr="00020067">
        <w:tc>
          <w:tcPr>
            <w:tcW w:w="1831" w:type="dxa"/>
            <w:shd w:val="clear" w:color="auto" w:fill="D5E8F0"/>
          </w:tcPr>
          <w:p w14:paraId="64F093CA" w14:textId="77777777" w:rsidR="00AA2148" w:rsidRPr="00020067" w:rsidRDefault="00B771E4">
            <w:pPr>
              <w:rPr>
                <w:sz w:val="21"/>
                <w:szCs w:val="21"/>
              </w:rPr>
            </w:pPr>
            <w:r w:rsidRPr="00020067">
              <w:rPr>
                <w:b/>
                <w:sz w:val="21"/>
                <w:szCs w:val="21"/>
              </w:rPr>
              <w:t>Technology</w:t>
            </w:r>
          </w:p>
        </w:tc>
        <w:tc>
          <w:tcPr>
            <w:tcW w:w="1855" w:type="dxa"/>
            <w:shd w:val="clear" w:color="auto" w:fill="D5E8F0"/>
          </w:tcPr>
          <w:p w14:paraId="7C6292CE" w14:textId="77777777" w:rsidR="00AA2148" w:rsidRPr="00020067" w:rsidRDefault="00B771E4">
            <w:pPr>
              <w:rPr>
                <w:sz w:val="21"/>
                <w:szCs w:val="21"/>
              </w:rPr>
            </w:pPr>
            <w:r w:rsidRPr="00020067">
              <w:rPr>
                <w:b/>
                <w:sz w:val="21"/>
                <w:szCs w:val="21"/>
              </w:rPr>
              <w:t>2010-2015 Cost</w:t>
            </w:r>
          </w:p>
        </w:tc>
        <w:tc>
          <w:tcPr>
            <w:tcW w:w="2409" w:type="dxa"/>
            <w:shd w:val="clear" w:color="auto" w:fill="D5E8F0"/>
          </w:tcPr>
          <w:p w14:paraId="6CA6F4A6" w14:textId="77777777" w:rsidR="00AA2148" w:rsidRPr="00020067" w:rsidRDefault="00B771E4">
            <w:pPr>
              <w:rPr>
                <w:sz w:val="21"/>
                <w:szCs w:val="21"/>
              </w:rPr>
            </w:pPr>
            <w:r w:rsidRPr="00020067">
              <w:rPr>
                <w:b/>
                <w:sz w:val="21"/>
                <w:szCs w:val="21"/>
              </w:rPr>
              <w:t>2024 Cost</w:t>
            </w:r>
          </w:p>
        </w:tc>
        <w:tc>
          <w:tcPr>
            <w:tcW w:w="991" w:type="dxa"/>
            <w:shd w:val="clear" w:color="auto" w:fill="D5E8F0"/>
          </w:tcPr>
          <w:p w14:paraId="5C048268" w14:textId="77777777" w:rsidR="00AA2148" w:rsidRPr="00020067" w:rsidRDefault="00B771E4">
            <w:pPr>
              <w:rPr>
                <w:sz w:val="21"/>
                <w:szCs w:val="21"/>
              </w:rPr>
            </w:pPr>
            <w:r w:rsidRPr="00020067">
              <w:rPr>
                <w:b/>
                <w:sz w:val="21"/>
                <w:szCs w:val="21"/>
              </w:rPr>
              <w:t>Decline</w:t>
            </w:r>
          </w:p>
        </w:tc>
        <w:tc>
          <w:tcPr>
            <w:tcW w:w="1652" w:type="dxa"/>
            <w:shd w:val="clear" w:color="auto" w:fill="D5E8F0"/>
          </w:tcPr>
          <w:p w14:paraId="340BC498" w14:textId="77777777" w:rsidR="00AA2148" w:rsidRPr="00020067" w:rsidRDefault="00B771E4">
            <w:pPr>
              <w:rPr>
                <w:sz w:val="21"/>
                <w:szCs w:val="21"/>
              </w:rPr>
            </w:pPr>
            <w:r w:rsidRPr="00020067">
              <w:rPr>
                <w:b/>
                <w:sz w:val="21"/>
                <w:szCs w:val="21"/>
              </w:rPr>
              <w:t>Source</w:t>
            </w:r>
          </w:p>
        </w:tc>
      </w:tr>
      <w:tr w:rsidR="00AA2148" w:rsidRPr="00020067" w14:paraId="0CC854C5" w14:textId="77777777" w:rsidTr="00020067">
        <w:tc>
          <w:tcPr>
            <w:tcW w:w="1831" w:type="dxa"/>
          </w:tcPr>
          <w:p w14:paraId="0ADD065B" w14:textId="77777777" w:rsidR="00AA2148" w:rsidRPr="00020067" w:rsidRDefault="00B771E4">
            <w:pPr>
              <w:rPr>
                <w:sz w:val="21"/>
                <w:szCs w:val="21"/>
              </w:rPr>
            </w:pPr>
            <w:r w:rsidRPr="00020067">
              <w:rPr>
                <w:sz w:val="21"/>
                <w:szCs w:val="21"/>
              </w:rPr>
              <w:t>Solar PV (LCOE)</w:t>
            </w:r>
          </w:p>
        </w:tc>
        <w:tc>
          <w:tcPr>
            <w:tcW w:w="1855" w:type="dxa"/>
          </w:tcPr>
          <w:p w14:paraId="5C498CB3" w14:textId="77777777" w:rsidR="00AA2148" w:rsidRPr="00020067" w:rsidRDefault="00B771E4">
            <w:pPr>
              <w:rPr>
                <w:sz w:val="21"/>
                <w:szCs w:val="21"/>
              </w:rPr>
            </w:pPr>
            <w:r w:rsidRPr="00020067">
              <w:rPr>
                <w:sz w:val="21"/>
                <w:szCs w:val="21"/>
              </w:rPr>
              <w:t>USD 0.38/kWh</w:t>
            </w:r>
          </w:p>
        </w:tc>
        <w:tc>
          <w:tcPr>
            <w:tcW w:w="2409" w:type="dxa"/>
          </w:tcPr>
          <w:p w14:paraId="0CA79F59" w14:textId="77777777" w:rsidR="00AA2148" w:rsidRPr="00020067" w:rsidRDefault="00B771E4">
            <w:pPr>
              <w:rPr>
                <w:sz w:val="21"/>
                <w:szCs w:val="21"/>
              </w:rPr>
            </w:pPr>
            <w:r w:rsidRPr="00020067">
              <w:rPr>
                <w:sz w:val="21"/>
                <w:szCs w:val="21"/>
              </w:rPr>
              <w:t>USD 0.035-0.045/kWh</w:t>
            </w:r>
          </w:p>
        </w:tc>
        <w:tc>
          <w:tcPr>
            <w:tcW w:w="991" w:type="dxa"/>
          </w:tcPr>
          <w:p w14:paraId="1598D787" w14:textId="77777777" w:rsidR="00AA2148" w:rsidRPr="00020067" w:rsidRDefault="00B771E4">
            <w:pPr>
              <w:rPr>
                <w:sz w:val="21"/>
                <w:szCs w:val="21"/>
              </w:rPr>
            </w:pPr>
            <w:r w:rsidRPr="00020067">
              <w:rPr>
                <w:sz w:val="21"/>
                <w:szCs w:val="21"/>
              </w:rPr>
              <w:t>85-90%</w:t>
            </w:r>
          </w:p>
        </w:tc>
        <w:tc>
          <w:tcPr>
            <w:tcW w:w="1652" w:type="dxa"/>
          </w:tcPr>
          <w:p w14:paraId="23910061" w14:textId="77777777" w:rsidR="00AA2148" w:rsidRPr="00020067" w:rsidRDefault="00B771E4">
            <w:pPr>
              <w:rPr>
                <w:sz w:val="21"/>
                <w:szCs w:val="21"/>
              </w:rPr>
            </w:pPr>
            <w:r w:rsidRPr="00020067">
              <w:rPr>
                <w:sz w:val="21"/>
                <w:szCs w:val="21"/>
              </w:rPr>
              <w:t>IRENA</w:t>
            </w:r>
          </w:p>
        </w:tc>
      </w:tr>
      <w:tr w:rsidR="00AA2148" w:rsidRPr="00020067" w14:paraId="5766381A" w14:textId="77777777" w:rsidTr="00020067">
        <w:tc>
          <w:tcPr>
            <w:tcW w:w="1831" w:type="dxa"/>
          </w:tcPr>
          <w:p w14:paraId="7C68C0A3" w14:textId="77777777" w:rsidR="00AA2148" w:rsidRPr="00020067" w:rsidRDefault="00B771E4">
            <w:pPr>
              <w:rPr>
                <w:sz w:val="21"/>
                <w:szCs w:val="21"/>
              </w:rPr>
            </w:pPr>
            <w:r w:rsidRPr="00020067">
              <w:rPr>
                <w:sz w:val="21"/>
                <w:szCs w:val="21"/>
              </w:rPr>
              <w:t>Battery Storage</w:t>
            </w:r>
          </w:p>
        </w:tc>
        <w:tc>
          <w:tcPr>
            <w:tcW w:w="1855" w:type="dxa"/>
          </w:tcPr>
          <w:p w14:paraId="59B31A76" w14:textId="77777777" w:rsidR="00AA2148" w:rsidRPr="00020067" w:rsidRDefault="00B771E4">
            <w:pPr>
              <w:rPr>
                <w:sz w:val="21"/>
                <w:szCs w:val="21"/>
              </w:rPr>
            </w:pPr>
            <w:r w:rsidRPr="00020067">
              <w:rPr>
                <w:sz w:val="21"/>
                <w:szCs w:val="21"/>
              </w:rPr>
              <w:t>USD 600-700/kWh</w:t>
            </w:r>
          </w:p>
        </w:tc>
        <w:tc>
          <w:tcPr>
            <w:tcW w:w="2409" w:type="dxa"/>
          </w:tcPr>
          <w:p w14:paraId="470AF46A" w14:textId="77777777" w:rsidR="00AA2148" w:rsidRPr="00020067" w:rsidRDefault="00B771E4">
            <w:pPr>
              <w:rPr>
                <w:sz w:val="21"/>
                <w:szCs w:val="21"/>
              </w:rPr>
            </w:pPr>
            <w:r w:rsidRPr="00020067">
              <w:rPr>
                <w:sz w:val="21"/>
                <w:szCs w:val="21"/>
              </w:rPr>
              <w:t>USD 100-120/kWh</w:t>
            </w:r>
          </w:p>
        </w:tc>
        <w:tc>
          <w:tcPr>
            <w:tcW w:w="991" w:type="dxa"/>
          </w:tcPr>
          <w:p w14:paraId="0A4F4E4B" w14:textId="77777777" w:rsidR="00AA2148" w:rsidRPr="00020067" w:rsidRDefault="00B771E4">
            <w:pPr>
              <w:rPr>
                <w:sz w:val="21"/>
                <w:szCs w:val="21"/>
              </w:rPr>
            </w:pPr>
            <w:r w:rsidRPr="00020067">
              <w:rPr>
                <w:sz w:val="21"/>
                <w:szCs w:val="21"/>
              </w:rPr>
              <w:t>80-85%</w:t>
            </w:r>
          </w:p>
        </w:tc>
        <w:tc>
          <w:tcPr>
            <w:tcW w:w="1652" w:type="dxa"/>
          </w:tcPr>
          <w:p w14:paraId="1F7B472C" w14:textId="77777777" w:rsidR="00AA2148" w:rsidRPr="00020067" w:rsidRDefault="00B771E4">
            <w:pPr>
              <w:rPr>
                <w:sz w:val="21"/>
                <w:szCs w:val="21"/>
              </w:rPr>
            </w:pPr>
            <w:proofErr w:type="spellStart"/>
            <w:r w:rsidRPr="00020067">
              <w:rPr>
                <w:sz w:val="21"/>
                <w:szCs w:val="21"/>
              </w:rPr>
              <w:t>BloombergNEF</w:t>
            </w:r>
            <w:proofErr w:type="spellEnd"/>
          </w:p>
        </w:tc>
      </w:tr>
    </w:tbl>
    <w:p w14:paraId="0783247A" w14:textId="77777777" w:rsidR="00AA2148" w:rsidRDefault="00AA2148" w:rsidP="009F5666">
      <w:pPr>
        <w:spacing w:after="0"/>
      </w:pPr>
    </w:p>
    <w:p w14:paraId="4D1B066E" w14:textId="77777777" w:rsidR="00AA2148" w:rsidRPr="00020067" w:rsidRDefault="00B771E4" w:rsidP="009F5666">
      <w:pPr>
        <w:jc w:val="both"/>
        <w:rPr>
          <w:sz w:val="23"/>
          <w:szCs w:val="23"/>
        </w:rPr>
      </w:pPr>
      <w:r w:rsidRPr="00020067">
        <w:rPr>
          <w:sz w:val="23"/>
          <w:szCs w:val="23"/>
        </w:rPr>
        <w:t>Had EFL begun serious solar deployment in 2015-2016 when costs became clearly competitive, it would have captured the benefit of declining costs over the subsequent decade while simultaneously reducing diesel exposure. The counterfactual is significant: aggressive solar deployment beginning in 2015, reaching 20-30% penetration by 2020 (comparable to Hawaii's trajectory), would have materially reduced diesel generation during the high-price period of 2022-2024.</w:t>
      </w:r>
    </w:p>
    <w:p w14:paraId="20D286F3" w14:textId="77777777" w:rsidR="00AA2148" w:rsidRPr="00020067" w:rsidRDefault="00B771E4" w:rsidP="009F5666">
      <w:pPr>
        <w:jc w:val="both"/>
        <w:rPr>
          <w:sz w:val="23"/>
          <w:szCs w:val="23"/>
        </w:rPr>
      </w:pPr>
      <w:r w:rsidRPr="00020067">
        <w:rPr>
          <w:sz w:val="23"/>
          <w:szCs w:val="23"/>
        </w:rPr>
        <w:t xml:space="preserve">Analysis of comparable systems indicates that solar lifecycle costs are 30-50% below diesel in </w:t>
      </w:r>
      <w:proofErr w:type="gramStart"/>
      <w:r w:rsidRPr="00020067">
        <w:rPr>
          <w:sz w:val="23"/>
          <w:szCs w:val="23"/>
        </w:rPr>
        <w:t>Pacific island</w:t>
      </w:r>
      <w:proofErr w:type="gramEnd"/>
      <w:r w:rsidRPr="00020067">
        <w:rPr>
          <w:sz w:val="23"/>
          <w:szCs w:val="23"/>
        </w:rPr>
        <w:t xml:space="preserve"> contexts when fuel transport costs and price volatility are properly accounted for. Earlier deployment could have avoided tens of millions in cumulative fuel costs over the 2015-2024 period. These avoided costs would have improved EFL's financial position and reduced the revenue requirement that consumers now face.</w:t>
      </w:r>
    </w:p>
    <w:p w14:paraId="478FDBB6" w14:textId="77777777" w:rsidR="00AA2148" w:rsidRPr="00020067" w:rsidRDefault="00B771E4">
      <w:pPr>
        <w:pStyle w:val="Heading2"/>
        <w:rPr>
          <w:sz w:val="28"/>
        </w:rPr>
      </w:pPr>
      <w:r w:rsidRPr="00020067">
        <w:rPr>
          <w:color w:val="000000"/>
          <w:sz w:val="28"/>
        </w:rPr>
        <w:t>4.4 Island Peer Comparisons</w:t>
      </w:r>
    </w:p>
    <w:p w14:paraId="74ECC13C" w14:textId="77777777" w:rsidR="00AA2148" w:rsidRPr="00020067" w:rsidRDefault="00B771E4" w:rsidP="009F5666">
      <w:pPr>
        <w:jc w:val="both"/>
        <w:rPr>
          <w:sz w:val="23"/>
          <w:szCs w:val="23"/>
        </w:rPr>
      </w:pPr>
      <w:r w:rsidRPr="00020067">
        <w:rPr>
          <w:sz w:val="23"/>
          <w:szCs w:val="23"/>
        </w:rPr>
        <w:t>Small island nations face similar challenges to Fiji</w:t>
      </w:r>
      <w:r w:rsidR="009F5666" w:rsidRPr="00020067">
        <w:rPr>
          <w:sz w:val="23"/>
          <w:szCs w:val="23"/>
        </w:rPr>
        <w:t xml:space="preserve"> - </w:t>
      </w:r>
      <w:r w:rsidRPr="00020067">
        <w:rPr>
          <w:sz w:val="23"/>
          <w:szCs w:val="23"/>
        </w:rPr>
        <w:t>limited scale, geographic isolation, and dependence on imported fuel</w:t>
      </w:r>
      <w:r w:rsidR="009F5666" w:rsidRPr="00020067">
        <w:rPr>
          <w:sz w:val="23"/>
          <w:szCs w:val="23"/>
        </w:rPr>
        <w:t xml:space="preserve"> - </w:t>
      </w:r>
      <w:r w:rsidRPr="00020067">
        <w:rPr>
          <w:sz w:val="23"/>
          <w:szCs w:val="23"/>
        </w:rPr>
        <w:t>yet several have achieved far greater renewable penetration:</w:t>
      </w:r>
    </w:p>
    <w:p w14:paraId="39BE1F1F" w14:textId="77777777" w:rsidR="00AA2148" w:rsidRPr="00020067" w:rsidRDefault="00B771E4" w:rsidP="009F5666">
      <w:pPr>
        <w:jc w:val="both"/>
        <w:rPr>
          <w:sz w:val="23"/>
          <w:szCs w:val="23"/>
        </w:rPr>
      </w:pPr>
      <w:r w:rsidRPr="00020067">
        <w:rPr>
          <w:b/>
          <w:sz w:val="23"/>
          <w:szCs w:val="23"/>
        </w:rPr>
        <w:lastRenderedPageBreak/>
        <w:t xml:space="preserve">Barbados: </w:t>
      </w:r>
      <w:r w:rsidRPr="00020067">
        <w:rPr>
          <w:sz w:val="23"/>
          <w:szCs w:val="23"/>
        </w:rPr>
        <w:t>Aggressive solar deployment with regulatory framework supporting distributed generation and utility-scale installations. Achieved highest regional solar water heater penetration in the Caribbean and added hundreds of megawatts of solar PV capacity between 2014 and 2018.</w:t>
      </w:r>
    </w:p>
    <w:p w14:paraId="4DBCB9B5" w14:textId="77777777" w:rsidR="00AA2148" w:rsidRPr="00020067" w:rsidRDefault="00B771E4" w:rsidP="009F5666">
      <w:pPr>
        <w:jc w:val="both"/>
        <w:rPr>
          <w:sz w:val="23"/>
          <w:szCs w:val="23"/>
        </w:rPr>
      </w:pPr>
      <w:r w:rsidRPr="00020067">
        <w:rPr>
          <w:b/>
          <w:sz w:val="23"/>
          <w:szCs w:val="23"/>
        </w:rPr>
        <w:t xml:space="preserve">Seychelles: </w:t>
      </w:r>
      <w:r w:rsidRPr="00020067">
        <w:rPr>
          <w:sz w:val="23"/>
          <w:szCs w:val="23"/>
        </w:rPr>
        <w:t>Systematic solar rollout across main islands with clear renewable energy targets. Pursued aggressive solar deployment including innovative floating PV installations and private hybrid systems.</w:t>
      </w:r>
    </w:p>
    <w:p w14:paraId="5C2D3F9A" w14:textId="77777777" w:rsidR="00AA2148" w:rsidRPr="00020067" w:rsidRDefault="00B771E4" w:rsidP="009F5666">
      <w:pPr>
        <w:jc w:val="both"/>
        <w:rPr>
          <w:sz w:val="23"/>
          <w:szCs w:val="23"/>
        </w:rPr>
      </w:pPr>
      <w:r w:rsidRPr="00020067">
        <w:rPr>
          <w:b/>
          <w:sz w:val="23"/>
          <w:szCs w:val="23"/>
        </w:rPr>
        <w:t xml:space="preserve">Maldives: </w:t>
      </w:r>
      <w:r w:rsidRPr="00020067">
        <w:rPr>
          <w:sz w:val="23"/>
          <w:szCs w:val="23"/>
        </w:rPr>
        <w:t>Large-scale solar installations despite extreme land constraints. Deployed 69+ MW of solar capacity by 2024 through hybrid systems across 102+ islands. Resort operators meet approximately 50% of their demand through on-site solar generation.</w:t>
      </w:r>
    </w:p>
    <w:p w14:paraId="4EEDD188" w14:textId="77777777" w:rsidR="00AA2148" w:rsidRPr="00020067" w:rsidRDefault="00B771E4" w:rsidP="009F5666">
      <w:pPr>
        <w:jc w:val="both"/>
        <w:rPr>
          <w:sz w:val="23"/>
          <w:szCs w:val="23"/>
        </w:rPr>
      </w:pPr>
      <w:r w:rsidRPr="00020067">
        <w:rPr>
          <w:b/>
          <w:sz w:val="23"/>
          <w:szCs w:val="23"/>
        </w:rPr>
        <w:t xml:space="preserve">Hawaii (US): </w:t>
      </w:r>
      <w:r w:rsidRPr="00020067">
        <w:rPr>
          <w:sz w:val="23"/>
          <w:szCs w:val="23"/>
        </w:rPr>
        <w:t>Achieved 30% renewable generation by 2020, on trajectory for 100% by 2045, with rooftop solar penetration exceeding 30% of households</w:t>
      </w:r>
      <w:r w:rsidR="009F5666" w:rsidRPr="00020067">
        <w:rPr>
          <w:sz w:val="23"/>
          <w:szCs w:val="23"/>
        </w:rPr>
        <w:t xml:space="preserve"> - </w:t>
      </w:r>
      <w:r w:rsidRPr="00020067">
        <w:rPr>
          <w:sz w:val="23"/>
          <w:szCs w:val="23"/>
        </w:rPr>
        <w:t>demonstrating that island utilities can successfully integrate high levels of variable renewable generation with proper grid management.</w:t>
      </w:r>
    </w:p>
    <w:p w14:paraId="148C3F67" w14:textId="77777777" w:rsidR="00AA2148" w:rsidRPr="00020067" w:rsidRDefault="00B771E4">
      <w:pPr>
        <w:pStyle w:val="Heading2"/>
        <w:rPr>
          <w:sz w:val="28"/>
        </w:rPr>
      </w:pPr>
      <w:r w:rsidRPr="00020067">
        <w:rPr>
          <w:color w:val="000000"/>
          <w:sz w:val="28"/>
        </w:rPr>
        <w:t>4.5 Independent Power Producers: Missed Opportunity</w:t>
      </w:r>
    </w:p>
    <w:p w14:paraId="63690298" w14:textId="77777777" w:rsidR="00AA2148" w:rsidRPr="00020067" w:rsidRDefault="00B771E4" w:rsidP="009A1E01">
      <w:pPr>
        <w:jc w:val="both"/>
        <w:rPr>
          <w:sz w:val="23"/>
          <w:szCs w:val="23"/>
        </w:rPr>
      </w:pPr>
      <w:r w:rsidRPr="00020067">
        <w:rPr>
          <w:sz w:val="23"/>
          <w:szCs w:val="23"/>
        </w:rPr>
        <w:t>Many jurisdictions have reduced utility costs by competitively procuring power from Independent Power Producers (IPPs). Fiji has framework legislation for IPPs but minimal deployment. Competitive IPP procurement allows price discovery that tests whether utility self-build costs are efficient, transfers construction and operational risk to private developers, and brings international expertise and financing to local markets. EFL's limited use of IPPs means consumers cannot know whether EFL's costs are competitive.</w:t>
      </w:r>
    </w:p>
    <w:tbl>
      <w:tblPr>
        <w:tblW w:w="0" w:type="auto"/>
        <w:jc w:val="center"/>
        <w:tblLook w:val="04A0" w:firstRow="1" w:lastRow="0" w:firstColumn="1" w:lastColumn="0" w:noHBand="0" w:noVBand="1"/>
      </w:tblPr>
      <w:tblGrid>
        <w:gridCol w:w="8930"/>
      </w:tblGrid>
      <w:tr w:rsidR="00AA2148" w14:paraId="3AFD1620" w14:textId="77777777" w:rsidTr="00020067">
        <w:trPr>
          <w:jc w:val="center"/>
        </w:trPr>
        <w:tc>
          <w:tcPr>
            <w:tcW w:w="9069" w:type="dxa"/>
            <w:shd w:val="clear" w:color="auto" w:fill="E8F4F8"/>
          </w:tcPr>
          <w:p w14:paraId="4E95798E" w14:textId="77777777" w:rsidR="00AA2148" w:rsidRPr="00020067" w:rsidRDefault="00B771E4">
            <w:pPr>
              <w:rPr>
                <w:sz w:val="23"/>
                <w:szCs w:val="23"/>
              </w:rPr>
            </w:pPr>
            <w:r w:rsidRPr="00020067">
              <w:rPr>
                <w:b/>
                <w:sz w:val="23"/>
                <w:szCs w:val="23"/>
              </w:rPr>
              <w:t>Key Points – Section 4:</w:t>
            </w:r>
          </w:p>
          <w:p w14:paraId="57650B7C" w14:textId="77777777" w:rsidR="00AA2148" w:rsidRPr="00020067" w:rsidRDefault="00B771E4" w:rsidP="00C260BE">
            <w:pPr>
              <w:pStyle w:val="ListBullet"/>
              <w:spacing w:line="300" w:lineRule="auto"/>
              <w:ind w:left="357" w:hanging="357"/>
              <w:jc w:val="both"/>
              <w:rPr>
                <w:sz w:val="21"/>
                <w:szCs w:val="21"/>
              </w:rPr>
            </w:pPr>
            <w:r w:rsidRPr="00020067">
              <w:rPr>
                <w:sz w:val="21"/>
                <w:szCs w:val="21"/>
              </w:rPr>
              <w:t>Solar/wind generation declined from 0.30% to 0.07% of EFL's generation mix (2019-2024) despite global solar costs falling 85-90%</w:t>
            </w:r>
            <w:r w:rsidR="009F5666" w:rsidRPr="00020067">
              <w:rPr>
                <w:sz w:val="21"/>
                <w:szCs w:val="21"/>
              </w:rPr>
              <w:t xml:space="preserve"> - </w:t>
            </w:r>
            <w:r w:rsidRPr="00020067">
              <w:rPr>
                <w:sz w:val="21"/>
                <w:szCs w:val="21"/>
              </w:rPr>
              <w:t>this is strategic failure, not technology limitation.</w:t>
            </w:r>
          </w:p>
          <w:p w14:paraId="5A767826" w14:textId="77777777" w:rsidR="00AA2148" w:rsidRPr="00020067" w:rsidRDefault="00B771E4" w:rsidP="00C260BE">
            <w:pPr>
              <w:pStyle w:val="ListBullet"/>
              <w:spacing w:line="300" w:lineRule="auto"/>
              <w:ind w:left="357" w:hanging="357"/>
              <w:jc w:val="both"/>
              <w:rPr>
                <w:sz w:val="21"/>
                <w:szCs w:val="21"/>
              </w:rPr>
            </w:pPr>
            <w:r w:rsidRPr="00020067">
              <w:rPr>
                <w:sz w:val="21"/>
                <w:szCs w:val="21"/>
              </w:rPr>
              <w:t>Island peers (Hawaii, Barbados, Seychelles, Maldives) achieved 20-40% renewable penetration during the same period Fiji maintained near-zero solar deployment.</w:t>
            </w:r>
          </w:p>
          <w:p w14:paraId="0DEC3D6C" w14:textId="77777777" w:rsidR="00AA2148" w:rsidRDefault="00B771E4" w:rsidP="00C260BE">
            <w:pPr>
              <w:pStyle w:val="ListBullet"/>
              <w:spacing w:line="300" w:lineRule="auto"/>
              <w:ind w:left="357" w:hanging="357"/>
              <w:jc w:val="both"/>
            </w:pPr>
            <w:r w:rsidRPr="00020067">
              <w:rPr>
                <w:sz w:val="21"/>
                <w:szCs w:val="21"/>
              </w:rPr>
              <w:t>Allowing consumers to bear costs arising from prolonged delay in adopting globally competitive technologies rewards strategic failure and creates perverse incentives.</w:t>
            </w:r>
          </w:p>
        </w:tc>
      </w:tr>
    </w:tbl>
    <w:p w14:paraId="1A46A4D1" w14:textId="77777777" w:rsidR="00AA2148" w:rsidRPr="00020067" w:rsidRDefault="00B771E4">
      <w:pPr>
        <w:pStyle w:val="Heading1"/>
        <w:rPr>
          <w:sz w:val="32"/>
        </w:rPr>
      </w:pPr>
      <w:r w:rsidRPr="00020067">
        <w:rPr>
          <w:color w:val="000000"/>
          <w:sz w:val="32"/>
        </w:rPr>
        <w:t>5. ECONOMIC CONTEXT: CUMULATIVE COST CRISIS</w:t>
      </w:r>
    </w:p>
    <w:p w14:paraId="232D9B94" w14:textId="77777777" w:rsidR="00AA2148" w:rsidRDefault="00B771E4" w:rsidP="00B95255">
      <w:pPr>
        <w:jc w:val="both"/>
        <w:rPr>
          <w:sz w:val="23"/>
          <w:szCs w:val="23"/>
        </w:rPr>
      </w:pPr>
      <w:r w:rsidRPr="00020067">
        <w:rPr>
          <w:sz w:val="23"/>
          <w:szCs w:val="23"/>
        </w:rPr>
        <w:t>The proposed tariff increase does not occur in isolation. Fiji's businesses and households have already absorbed unprecedented cost increases since 2021. The electricity tariff increase would compound an existing cumulative burden that has exhausted the absorption capacity of the economy.</w:t>
      </w:r>
    </w:p>
    <w:p w14:paraId="27B63257" w14:textId="77777777" w:rsidR="00020067" w:rsidRPr="00020067" w:rsidRDefault="00020067" w:rsidP="00B95255">
      <w:pPr>
        <w:jc w:val="both"/>
        <w:rPr>
          <w:sz w:val="23"/>
          <w:szCs w:val="23"/>
        </w:rPr>
      </w:pPr>
    </w:p>
    <w:p w14:paraId="13B60894" w14:textId="77777777" w:rsidR="00AA2148" w:rsidRPr="00020067" w:rsidRDefault="00B771E4">
      <w:pPr>
        <w:pStyle w:val="Heading2"/>
        <w:rPr>
          <w:sz w:val="28"/>
        </w:rPr>
      </w:pPr>
      <w:r w:rsidRPr="00020067">
        <w:rPr>
          <w:color w:val="000000"/>
          <w:sz w:val="28"/>
        </w:rPr>
        <w:lastRenderedPageBreak/>
        <w:t>5.1 Cumulative Cost Shocks</w:t>
      </w:r>
    </w:p>
    <w:tbl>
      <w:tblPr>
        <w:tblStyle w:val="TableGrid"/>
        <w:tblW w:w="7938" w:type="dxa"/>
        <w:tblInd w:w="534" w:type="dxa"/>
        <w:tblLook w:val="04A0" w:firstRow="1" w:lastRow="0" w:firstColumn="1" w:lastColumn="0" w:noHBand="0" w:noVBand="1"/>
      </w:tblPr>
      <w:tblGrid>
        <w:gridCol w:w="2551"/>
        <w:gridCol w:w="2410"/>
        <w:gridCol w:w="2977"/>
      </w:tblGrid>
      <w:tr w:rsidR="00AA2148" w:rsidRPr="00020067" w14:paraId="5FC777DB" w14:textId="77777777" w:rsidTr="00020067">
        <w:tc>
          <w:tcPr>
            <w:tcW w:w="2551" w:type="dxa"/>
            <w:shd w:val="clear" w:color="auto" w:fill="D5E8F0"/>
          </w:tcPr>
          <w:p w14:paraId="4973C87E" w14:textId="77777777" w:rsidR="00AA2148" w:rsidRPr="00020067" w:rsidRDefault="00B771E4">
            <w:pPr>
              <w:rPr>
                <w:sz w:val="21"/>
                <w:szCs w:val="21"/>
              </w:rPr>
            </w:pPr>
            <w:r w:rsidRPr="00020067">
              <w:rPr>
                <w:b/>
                <w:sz w:val="21"/>
                <w:szCs w:val="21"/>
              </w:rPr>
              <w:t>Cost Category</w:t>
            </w:r>
          </w:p>
        </w:tc>
        <w:tc>
          <w:tcPr>
            <w:tcW w:w="2410" w:type="dxa"/>
            <w:shd w:val="clear" w:color="auto" w:fill="D5E8F0"/>
          </w:tcPr>
          <w:p w14:paraId="79DF627C" w14:textId="77777777" w:rsidR="00AA2148" w:rsidRPr="00020067" w:rsidRDefault="00B771E4">
            <w:pPr>
              <w:rPr>
                <w:sz w:val="21"/>
                <w:szCs w:val="21"/>
              </w:rPr>
            </w:pPr>
            <w:r w:rsidRPr="00020067">
              <w:rPr>
                <w:b/>
                <w:sz w:val="21"/>
                <w:szCs w:val="21"/>
              </w:rPr>
              <w:t>Increase Since 2021</w:t>
            </w:r>
          </w:p>
        </w:tc>
        <w:tc>
          <w:tcPr>
            <w:tcW w:w="2977" w:type="dxa"/>
            <w:shd w:val="clear" w:color="auto" w:fill="D5E8F0"/>
          </w:tcPr>
          <w:p w14:paraId="09D231A7" w14:textId="77777777" w:rsidR="00AA2148" w:rsidRPr="00020067" w:rsidRDefault="00B771E4">
            <w:pPr>
              <w:rPr>
                <w:sz w:val="21"/>
                <w:szCs w:val="21"/>
              </w:rPr>
            </w:pPr>
            <w:r w:rsidRPr="00020067">
              <w:rPr>
                <w:b/>
                <w:sz w:val="21"/>
                <w:szCs w:val="21"/>
              </w:rPr>
              <w:t>Impact</w:t>
            </w:r>
          </w:p>
        </w:tc>
      </w:tr>
      <w:tr w:rsidR="00AA2148" w:rsidRPr="00020067" w14:paraId="408DFEA0" w14:textId="77777777" w:rsidTr="00020067">
        <w:tc>
          <w:tcPr>
            <w:tcW w:w="2551" w:type="dxa"/>
          </w:tcPr>
          <w:p w14:paraId="024E0280" w14:textId="77777777" w:rsidR="00AA2148" w:rsidRPr="00020067" w:rsidRDefault="00B771E4">
            <w:pPr>
              <w:rPr>
                <w:sz w:val="21"/>
                <w:szCs w:val="21"/>
              </w:rPr>
            </w:pPr>
            <w:r w:rsidRPr="00020067">
              <w:rPr>
                <w:sz w:val="21"/>
                <w:szCs w:val="21"/>
              </w:rPr>
              <w:t>National Minimum Wage</w:t>
            </w:r>
          </w:p>
        </w:tc>
        <w:tc>
          <w:tcPr>
            <w:tcW w:w="2410" w:type="dxa"/>
          </w:tcPr>
          <w:p w14:paraId="05C2983C" w14:textId="77777777" w:rsidR="00AA2148" w:rsidRPr="00020067" w:rsidRDefault="00B771E4">
            <w:pPr>
              <w:rPr>
                <w:sz w:val="21"/>
                <w:szCs w:val="21"/>
              </w:rPr>
            </w:pPr>
            <w:r w:rsidRPr="00020067">
              <w:rPr>
                <w:sz w:val="21"/>
                <w:szCs w:val="21"/>
              </w:rPr>
              <w:t>+87%</w:t>
            </w:r>
          </w:p>
        </w:tc>
        <w:tc>
          <w:tcPr>
            <w:tcW w:w="2977" w:type="dxa"/>
          </w:tcPr>
          <w:p w14:paraId="1556DDF7" w14:textId="77777777" w:rsidR="00AA2148" w:rsidRPr="00020067" w:rsidRDefault="00B771E4">
            <w:pPr>
              <w:rPr>
                <w:sz w:val="21"/>
                <w:szCs w:val="21"/>
              </w:rPr>
            </w:pPr>
            <w:r w:rsidRPr="00020067">
              <w:rPr>
                <w:sz w:val="21"/>
                <w:szCs w:val="21"/>
              </w:rPr>
              <w:t xml:space="preserve">Direct </w:t>
            </w:r>
            <w:proofErr w:type="spellStart"/>
            <w:r w:rsidRPr="00020067">
              <w:rPr>
                <w:sz w:val="21"/>
                <w:szCs w:val="21"/>
              </w:rPr>
              <w:t>labour</w:t>
            </w:r>
            <w:proofErr w:type="spellEnd"/>
            <w:r w:rsidRPr="00020067">
              <w:rPr>
                <w:sz w:val="21"/>
                <w:szCs w:val="21"/>
              </w:rPr>
              <w:t xml:space="preserve"> cost</w:t>
            </w:r>
          </w:p>
        </w:tc>
      </w:tr>
      <w:tr w:rsidR="00AA2148" w:rsidRPr="00020067" w14:paraId="3CB85C74" w14:textId="77777777" w:rsidTr="00020067">
        <w:tc>
          <w:tcPr>
            <w:tcW w:w="2551" w:type="dxa"/>
          </w:tcPr>
          <w:p w14:paraId="226E09AB" w14:textId="77777777" w:rsidR="00AA2148" w:rsidRPr="00020067" w:rsidRDefault="00B771E4">
            <w:pPr>
              <w:rPr>
                <w:sz w:val="21"/>
                <w:szCs w:val="21"/>
              </w:rPr>
            </w:pPr>
            <w:r w:rsidRPr="00020067">
              <w:rPr>
                <w:sz w:val="21"/>
                <w:szCs w:val="21"/>
              </w:rPr>
              <w:t>Corporate Tax Rate</w:t>
            </w:r>
          </w:p>
        </w:tc>
        <w:tc>
          <w:tcPr>
            <w:tcW w:w="2410" w:type="dxa"/>
          </w:tcPr>
          <w:p w14:paraId="7275B67E" w14:textId="77777777" w:rsidR="00AA2148" w:rsidRPr="00020067" w:rsidRDefault="00B771E4">
            <w:pPr>
              <w:rPr>
                <w:sz w:val="21"/>
                <w:szCs w:val="21"/>
              </w:rPr>
            </w:pPr>
            <w:r w:rsidRPr="00020067">
              <w:rPr>
                <w:sz w:val="21"/>
                <w:szCs w:val="21"/>
              </w:rPr>
              <w:t>+25% (20% to 25%)</w:t>
            </w:r>
          </w:p>
        </w:tc>
        <w:tc>
          <w:tcPr>
            <w:tcW w:w="2977" w:type="dxa"/>
          </w:tcPr>
          <w:p w14:paraId="28E6E3A8" w14:textId="77777777" w:rsidR="00AA2148" w:rsidRPr="00020067" w:rsidRDefault="00B771E4">
            <w:pPr>
              <w:rPr>
                <w:sz w:val="21"/>
                <w:szCs w:val="21"/>
              </w:rPr>
            </w:pPr>
            <w:r w:rsidRPr="00020067">
              <w:rPr>
                <w:sz w:val="21"/>
                <w:szCs w:val="21"/>
              </w:rPr>
              <w:t>Reduced retained earnings</w:t>
            </w:r>
          </w:p>
        </w:tc>
      </w:tr>
      <w:tr w:rsidR="00AA2148" w:rsidRPr="00020067" w14:paraId="74C0942E" w14:textId="77777777" w:rsidTr="00020067">
        <w:tc>
          <w:tcPr>
            <w:tcW w:w="2551" w:type="dxa"/>
          </w:tcPr>
          <w:p w14:paraId="07BF9F5E" w14:textId="77777777" w:rsidR="00AA2148" w:rsidRPr="00020067" w:rsidRDefault="00B771E4">
            <w:pPr>
              <w:rPr>
                <w:sz w:val="21"/>
                <w:szCs w:val="21"/>
              </w:rPr>
            </w:pPr>
            <w:r w:rsidRPr="00020067">
              <w:rPr>
                <w:sz w:val="21"/>
                <w:szCs w:val="21"/>
              </w:rPr>
              <w:t>VAT Rate</w:t>
            </w:r>
          </w:p>
        </w:tc>
        <w:tc>
          <w:tcPr>
            <w:tcW w:w="2410" w:type="dxa"/>
          </w:tcPr>
          <w:p w14:paraId="5D5188BA" w14:textId="77777777" w:rsidR="00AA2148" w:rsidRPr="00020067" w:rsidRDefault="00B771E4">
            <w:pPr>
              <w:rPr>
                <w:sz w:val="21"/>
                <w:szCs w:val="21"/>
              </w:rPr>
            </w:pPr>
            <w:r w:rsidRPr="00020067">
              <w:rPr>
                <w:sz w:val="21"/>
                <w:szCs w:val="21"/>
              </w:rPr>
              <w:t>+39% (9% to 12.5%)</w:t>
            </w:r>
          </w:p>
        </w:tc>
        <w:tc>
          <w:tcPr>
            <w:tcW w:w="2977" w:type="dxa"/>
          </w:tcPr>
          <w:p w14:paraId="1BF72E86" w14:textId="77777777" w:rsidR="00AA2148" w:rsidRPr="00020067" w:rsidRDefault="00B771E4">
            <w:pPr>
              <w:rPr>
                <w:sz w:val="21"/>
                <w:szCs w:val="21"/>
              </w:rPr>
            </w:pPr>
            <w:r w:rsidRPr="00020067">
              <w:rPr>
                <w:sz w:val="21"/>
                <w:szCs w:val="21"/>
              </w:rPr>
              <w:t>Higher consumer prices</w:t>
            </w:r>
          </w:p>
        </w:tc>
      </w:tr>
      <w:tr w:rsidR="00AA2148" w:rsidRPr="00020067" w14:paraId="19F4BBD7" w14:textId="77777777" w:rsidTr="00020067">
        <w:tc>
          <w:tcPr>
            <w:tcW w:w="2551" w:type="dxa"/>
          </w:tcPr>
          <w:p w14:paraId="1B01B02F" w14:textId="77777777" w:rsidR="00AA2148" w:rsidRPr="00020067" w:rsidRDefault="00B771E4">
            <w:pPr>
              <w:rPr>
                <w:sz w:val="21"/>
                <w:szCs w:val="21"/>
              </w:rPr>
            </w:pPr>
            <w:r w:rsidRPr="00020067">
              <w:rPr>
                <w:sz w:val="21"/>
                <w:szCs w:val="21"/>
              </w:rPr>
              <w:t>General Inflation (CPI)</w:t>
            </w:r>
          </w:p>
        </w:tc>
        <w:tc>
          <w:tcPr>
            <w:tcW w:w="2410" w:type="dxa"/>
          </w:tcPr>
          <w:p w14:paraId="2AD0BE23" w14:textId="77777777" w:rsidR="00AA2148" w:rsidRPr="00020067" w:rsidRDefault="000E43B0">
            <w:pPr>
              <w:rPr>
                <w:sz w:val="21"/>
                <w:szCs w:val="21"/>
              </w:rPr>
            </w:pPr>
            <w:r w:rsidRPr="00020067">
              <w:rPr>
                <w:sz w:val="21"/>
                <w:szCs w:val="21"/>
              </w:rPr>
              <w:t>+13</w:t>
            </w:r>
            <w:r w:rsidR="00B771E4" w:rsidRPr="00020067">
              <w:rPr>
                <w:sz w:val="21"/>
                <w:szCs w:val="21"/>
              </w:rPr>
              <w:t>% cumulative</w:t>
            </w:r>
          </w:p>
        </w:tc>
        <w:tc>
          <w:tcPr>
            <w:tcW w:w="2977" w:type="dxa"/>
          </w:tcPr>
          <w:p w14:paraId="251B0DFF" w14:textId="77777777" w:rsidR="00AA2148" w:rsidRPr="00020067" w:rsidRDefault="00B771E4">
            <w:pPr>
              <w:rPr>
                <w:sz w:val="21"/>
                <w:szCs w:val="21"/>
              </w:rPr>
            </w:pPr>
            <w:r w:rsidRPr="00020067">
              <w:rPr>
                <w:sz w:val="21"/>
                <w:szCs w:val="21"/>
              </w:rPr>
              <w:t>Compressed margins</w:t>
            </w:r>
          </w:p>
        </w:tc>
      </w:tr>
      <w:tr w:rsidR="00AA2148" w:rsidRPr="00020067" w14:paraId="7423C424" w14:textId="77777777" w:rsidTr="00020067">
        <w:tc>
          <w:tcPr>
            <w:tcW w:w="2551" w:type="dxa"/>
          </w:tcPr>
          <w:p w14:paraId="5CD6F687" w14:textId="77777777" w:rsidR="00AA2148" w:rsidRPr="00020067" w:rsidRDefault="00B771E4">
            <w:pPr>
              <w:rPr>
                <w:sz w:val="21"/>
                <w:szCs w:val="21"/>
              </w:rPr>
            </w:pPr>
            <w:r w:rsidRPr="00020067">
              <w:rPr>
                <w:sz w:val="21"/>
                <w:szCs w:val="21"/>
              </w:rPr>
              <w:t>Proposed Electricity Increase</w:t>
            </w:r>
          </w:p>
        </w:tc>
        <w:tc>
          <w:tcPr>
            <w:tcW w:w="2410" w:type="dxa"/>
          </w:tcPr>
          <w:p w14:paraId="3DBC8790" w14:textId="77777777" w:rsidR="00AA2148" w:rsidRPr="00020067" w:rsidRDefault="00B771E4">
            <w:pPr>
              <w:rPr>
                <w:sz w:val="21"/>
                <w:szCs w:val="21"/>
              </w:rPr>
            </w:pPr>
            <w:r w:rsidRPr="00020067">
              <w:rPr>
                <w:sz w:val="21"/>
                <w:szCs w:val="21"/>
              </w:rPr>
              <w:t>+34.7% (commercial)</w:t>
            </w:r>
          </w:p>
        </w:tc>
        <w:tc>
          <w:tcPr>
            <w:tcW w:w="2977" w:type="dxa"/>
          </w:tcPr>
          <w:p w14:paraId="04A97615" w14:textId="77777777" w:rsidR="00AA2148" w:rsidRPr="00020067" w:rsidRDefault="00B771E4">
            <w:pPr>
              <w:rPr>
                <w:sz w:val="21"/>
                <w:szCs w:val="21"/>
              </w:rPr>
            </w:pPr>
            <w:r w:rsidRPr="00020067">
              <w:rPr>
                <w:sz w:val="21"/>
                <w:szCs w:val="21"/>
              </w:rPr>
              <w:t>Would compound all above</w:t>
            </w:r>
          </w:p>
        </w:tc>
      </w:tr>
    </w:tbl>
    <w:p w14:paraId="1B2881FB" w14:textId="77777777" w:rsidR="00E66E09" w:rsidRDefault="00E66E09" w:rsidP="00E66E09">
      <w:pPr>
        <w:spacing w:after="0"/>
        <w:jc w:val="both"/>
      </w:pPr>
    </w:p>
    <w:p w14:paraId="7C0F390C" w14:textId="77777777" w:rsidR="00AA2148" w:rsidRPr="00020067" w:rsidRDefault="00B771E4" w:rsidP="00B95255">
      <w:pPr>
        <w:jc w:val="both"/>
        <w:rPr>
          <w:sz w:val="23"/>
          <w:szCs w:val="23"/>
        </w:rPr>
      </w:pPr>
      <w:r w:rsidRPr="00020067">
        <w:rPr>
          <w:sz w:val="23"/>
          <w:szCs w:val="23"/>
        </w:rPr>
        <w:t>The proposed electricity increase would add to an already severe cost burden. Businesses that have absorbed wage increases, tax increases, and inflation have no remaining capacity to absorb a 34.7% electricity cost increase without passing costs to consumers, reducing employment, or ceasing operations.</w:t>
      </w:r>
    </w:p>
    <w:p w14:paraId="6F0C6A68" w14:textId="77777777" w:rsidR="00AA2148" w:rsidRPr="00020067" w:rsidRDefault="00B771E4">
      <w:pPr>
        <w:pStyle w:val="Heading2"/>
        <w:rPr>
          <w:sz w:val="28"/>
        </w:rPr>
      </w:pPr>
      <w:r w:rsidRPr="00020067">
        <w:rPr>
          <w:color w:val="000000"/>
          <w:sz w:val="28"/>
        </w:rPr>
        <w:t>5.2 Demographic Headwinds: Lower Commercial Demand Growth</w:t>
      </w:r>
    </w:p>
    <w:p w14:paraId="4A5B0B18" w14:textId="77777777" w:rsidR="00AA2148" w:rsidRPr="00020067" w:rsidRDefault="00B771E4" w:rsidP="00B95255">
      <w:pPr>
        <w:jc w:val="both"/>
        <w:rPr>
          <w:sz w:val="23"/>
          <w:szCs w:val="23"/>
        </w:rPr>
      </w:pPr>
      <w:r w:rsidRPr="00020067">
        <w:rPr>
          <w:sz w:val="23"/>
          <w:szCs w:val="23"/>
        </w:rPr>
        <w:t>EFL's demand projections of 5% annual growth should be assessed against Fiji's demographic trajectory, which indicates weaker long-term demand foundations than EFL's projections imply:</w:t>
      </w:r>
    </w:p>
    <w:p w14:paraId="21C5868A" w14:textId="77777777" w:rsidR="00AA2148" w:rsidRPr="00020067" w:rsidRDefault="00B771E4" w:rsidP="00B95255">
      <w:pPr>
        <w:pStyle w:val="ListBullet"/>
        <w:jc w:val="both"/>
        <w:rPr>
          <w:sz w:val="23"/>
          <w:szCs w:val="23"/>
        </w:rPr>
      </w:pPr>
      <w:r w:rsidRPr="00020067">
        <w:rPr>
          <w:sz w:val="23"/>
          <w:szCs w:val="23"/>
        </w:rPr>
        <w:t>Between the 2017 Census (884,887) and 2025 projection (900,869), net population</w:t>
      </w:r>
      <w:r w:rsidR="00B95255" w:rsidRPr="00020067">
        <w:rPr>
          <w:sz w:val="23"/>
          <w:szCs w:val="23"/>
        </w:rPr>
        <w:t xml:space="preserve"> growth was only 15,982 persons - </w:t>
      </w:r>
      <w:r w:rsidRPr="00020067">
        <w:rPr>
          <w:sz w:val="23"/>
          <w:szCs w:val="23"/>
        </w:rPr>
        <w:t>an average annual growth rate of approximately 0.2%</w:t>
      </w:r>
      <w:r w:rsidR="00020067">
        <w:rPr>
          <w:sz w:val="23"/>
          <w:szCs w:val="23"/>
        </w:rPr>
        <w:t>.</w:t>
      </w:r>
    </w:p>
    <w:p w14:paraId="31C72869" w14:textId="77777777" w:rsidR="00AA2148" w:rsidRPr="00020067" w:rsidRDefault="00B771E4" w:rsidP="00B95255">
      <w:pPr>
        <w:pStyle w:val="ListBullet"/>
        <w:jc w:val="both"/>
        <w:rPr>
          <w:sz w:val="23"/>
          <w:szCs w:val="23"/>
        </w:rPr>
      </w:pPr>
      <w:r w:rsidRPr="00020067">
        <w:rPr>
          <w:sz w:val="23"/>
          <w:szCs w:val="23"/>
        </w:rPr>
        <w:t>More than 114,000 Fijians have departed since 2018, primarily for overseas employment and education</w:t>
      </w:r>
      <w:r w:rsidR="00020067">
        <w:rPr>
          <w:sz w:val="23"/>
          <w:szCs w:val="23"/>
        </w:rPr>
        <w:t>.</w:t>
      </w:r>
    </w:p>
    <w:p w14:paraId="40661A8A" w14:textId="77777777" w:rsidR="00AA2148" w:rsidRPr="00020067" w:rsidRDefault="00B771E4" w:rsidP="00B95255">
      <w:pPr>
        <w:pStyle w:val="ListBullet"/>
        <w:jc w:val="both"/>
        <w:rPr>
          <w:sz w:val="23"/>
          <w:szCs w:val="23"/>
        </w:rPr>
      </w:pPr>
      <w:r w:rsidRPr="00020067">
        <w:rPr>
          <w:sz w:val="23"/>
          <w:szCs w:val="23"/>
        </w:rPr>
        <w:t>Annual births have declined to 17,000-18,000, and the 1 million population milestone is now delayed to at least 2035</w:t>
      </w:r>
      <w:r w:rsidR="00020067">
        <w:rPr>
          <w:sz w:val="23"/>
          <w:szCs w:val="23"/>
        </w:rPr>
        <w:t>.</w:t>
      </w:r>
    </w:p>
    <w:p w14:paraId="2814E42B" w14:textId="77777777" w:rsidR="00AA2148" w:rsidRPr="00020067" w:rsidRDefault="00B771E4" w:rsidP="00B95255">
      <w:pPr>
        <w:pStyle w:val="ListBullet"/>
        <w:jc w:val="both"/>
        <w:rPr>
          <w:sz w:val="23"/>
          <w:szCs w:val="23"/>
        </w:rPr>
      </w:pPr>
      <w:r w:rsidRPr="00020067">
        <w:rPr>
          <w:sz w:val="23"/>
          <w:szCs w:val="23"/>
        </w:rPr>
        <w:t xml:space="preserve">For businesses, this translates into a shrinking skilled </w:t>
      </w:r>
      <w:proofErr w:type="spellStart"/>
      <w:r w:rsidRPr="00020067">
        <w:rPr>
          <w:sz w:val="23"/>
          <w:szCs w:val="23"/>
        </w:rPr>
        <w:t>labour</w:t>
      </w:r>
      <w:proofErr w:type="spellEnd"/>
      <w:r w:rsidRPr="00020067">
        <w:rPr>
          <w:sz w:val="23"/>
          <w:szCs w:val="23"/>
        </w:rPr>
        <w:t xml:space="preserve"> pool, weaker domestic demand, higher recruitment costs, and reduced capacity to absorb utility cost increases</w:t>
      </w:r>
      <w:r w:rsidR="00020067">
        <w:rPr>
          <w:sz w:val="23"/>
          <w:szCs w:val="23"/>
        </w:rPr>
        <w:t>.</w:t>
      </w:r>
    </w:p>
    <w:p w14:paraId="44821CC3" w14:textId="77777777" w:rsidR="00AA2148" w:rsidRPr="00020067" w:rsidRDefault="00B771E4" w:rsidP="00B95255">
      <w:pPr>
        <w:jc w:val="both"/>
        <w:rPr>
          <w:sz w:val="23"/>
          <w:szCs w:val="23"/>
        </w:rPr>
      </w:pPr>
      <w:r w:rsidRPr="00020067">
        <w:rPr>
          <w:sz w:val="23"/>
          <w:szCs w:val="23"/>
        </w:rPr>
        <w:t>FCCC should require independent verification of EFL's demand projections against demographic realities before approving tariff increases predicated on demand growth assumptions that may not materialize.</w:t>
      </w:r>
    </w:p>
    <w:p w14:paraId="4E964832" w14:textId="77777777" w:rsidR="00AA2148" w:rsidRPr="00020067" w:rsidRDefault="00B771E4">
      <w:pPr>
        <w:pStyle w:val="Heading2"/>
        <w:rPr>
          <w:sz w:val="28"/>
        </w:rPr>
      </w:pPr>
      <w:r w:rsidRPr="00020067">
        <w:rPr>
          <w:color w:val="000000"/>
          <w:sz w:val="28"/>
        </w:rPr>
        <w:t>5.3 Supply Chain Transmission: All Consumers Bear Commercial Costs</w:t>
      </w:r>
    </w:p>
    <w:p w14:paraId="765C7A75" w14:textId="77777777" w:rsidR="00AA2148" w:rsidRPr="00020067" w:rsidRDefault="00B771E4" w:rsidP="00B95255">
      <w:pPr>
        <w:jc w:val="both"/>
        <w:rPr>
          <w:sz w:val="23"/>
          <w:szCs w:val="23"/>
        </w:rPr>
      </w:pPr>
      <w:r w:rsidRPr="00020067">
        <w:rPr>
          <w:sz w:val="23"/>
          <w:szCs w:val="23"/>
        </w:rPr>
        <w:t>The claim that the tariff structure 'protects' 97% of residential customers is misleading. Commercial electricity costs are embedded in the prices of all goods and services. When commercial tariffs increase 34.7%, those costs transmit through supply chains to final consumers. A household paying no direct electricity increase will nonetheless pay higher prices for food, transport, healthcare, and services. The commer</w:t>
      </w:r>
      <w:r w:rsidR="00B95255" w:rsidRPr="00020067">
        <w:rPr>
          <w:sz w:val="23"/>
          <w:szCs w:val="23"/>
        </w:rPr>
        <w:t>cial tariff increase will have “</w:t>
      </w:r>
      <w:r w:rsidRPr="00020067">
        <w:rPr>
          <w:sz w:val="23"/>
          <w:szCs w:val="23"/>
        </w:rPr>
        <w:t>severe consequences and raise the prices of goods and se</w:t>
      </w:r>
      <w:r w:rsidR="00B95255" w:rsidRPr="00020067">
        <w:rPr>
          <w:sz w:val="23"/>
          <w:szCs w:val="23"/>
        </w:rPr>
        <w:t xml:space="preserve">rvices” </w:t>
      </w:r>
      <w:r w:rsidR="00B95255" w:rsidRPr="00020067">
        <w:rPr>
          <w:sz w:val="23"/>
          <w:szCs w:val="23"/>
        </w:rPr>
        <w:lastRenderedPageBreak/>
        <w:t>as “</w:t>
      </w:r>
      <w:r w:rsidRPr="00020067">
        <w:rPr>
          <w:sz w:val="23"/>
          <w:szCs w:val="23"/>
        </w:rPr>
        <w:t>businesses try to re</w:t>
      </w:r>
      <w:r w:rsidR="00B95255" w:rsidRPr="00020067">
        <w:rPr>
          <w:sz w:val="23"/>
          <w:szCs w:val="23"/>
        </w:rPr>
        <w:t>coup revenue by raising prices.”</w:t>
      </w:r>
      <w:r w:rsidRPr="00020067">
        <w:rPr>
          <w:sz w:val="23"/>
          <w:szCs w:val="23"/>
        </w:rPr>
        <w:t xml:space="preserve"> This affects all consumers regardless of their residential electricity consumption tier.</w:t>
      </w:r>
    </w:p>
    <w:p w14:paraId="54D2C19B" w14:textId="77777777" w:rsidR="00AA2148" w:rsidRPr="00020067" w:rsidRDefault="00B771E4">
      <w:pPr>
        <w:pStyle w:val="Heading2"/>
        <w:rPr>
          <w:sz w:val="28"/>
        </w:rPr>
      </w:pPr>
      <w:r w:rsidRPr="00020067">
        <w:rPr>
          <w:color w:val="000000"/>
          <w:sz w:val="28"/>
        </w:rPr>
        <w:t>5.4 Sectoral Impact Analysis</w:t>
      </w:r>
    </w:p>
    <w:p w14:paraId="345A2EC0" w14:textId="77777777" w:rsidR="00AA2148" w:rsidRPr="00020067" w:rsidRDefault="00B771E4">
      <w:pPr>
        <w:rPr>
          <w:sz w:val="23"/>
          <w:szCs w:val="23"/>
        </w:rPr>
      </w:pPr>
      <w:r w:rsidRPr="00020067">
        <w:rPr>
          <w:b/>
          <w:sz w:val="23"/>
          <w:szCs w:val="23"/>
        </w:rPr>
        <w:t>5.4.1 Tourism Sector</w:t>
      </w:r>
    </w:p>
    <w:p w14:paraId="02C0549E" w14:textId="77777777" w:rsidR="00AA2148" w:rsidRPr="00020067" w:rsidRDefault="00B771E4" w:rsidP="00B95255">
      <w:pPr>
        <w:jc w:val="both"/>
        <w:rPr>
          <w:sz w:val="23"/>
          <w:szCs w:val="23"/>
        </w:rPr>
      </w:pPr>
      <w:r w:rsidRPr="00020067">
        <w:rPr>
          <w:sz w:val="23"/>
          <w:szCs w:val="23"/>
        </w:rPr>
        <w:t>The tourism sector faces particular exposure to commercial electricity costs. Resort and hotel operations are highly electricity-intensive: air conditioning in tropical climate, water heating for guests, commercial kitchen operations, laundry facilities, lighting, pool pumps, and guest amenities all depend on substantial electricity consumption. Electricity costs represent 15-25% of operating costs for many tourism properties.</w:t>
      </w:r>
    </w:p>
    <w:p w14:paraId="277AF536" w14:textId="77777777" w:rsidR="00AA2148" w:rsidRPr="00020067" w:rsidRDefault="00B771E4" w:rsidP="00B95255">
      <w:pPr>
        <w:jc w:val="both"/>
        <w:rPr>
          <w:sz w:val="23"/>
          <w:szCs w:val="23"/>
        </w:rPr>
      </w:pPr>
      <w:r w:rsidRPr="00020067">
        <w:rPr>
          <w:sz w:val="23"/>
          <w:szCs w:val="23"/>
        </w:rPr>
        <w:t>A 34.7% increase in commercial electricity tariffs translates to 5-9 percentage point increases in total operating costs for electricity-intensive tourism operations. Hotels competing with regional destinations</w:t>
      </w:r>
      <w:r w:rsidR="00B95255" w:rsidRPr="00020067">
        <w:rPr>
          <w:sz w:val="23"/>
          <w:szCs w:val="23"/>
        </w:rPr>
        <w:t xml:space="preserve"> - </w:t>
      </w:r>
      <w:r w:rsidRPr="00020067">
        <w:rPr>
          <w:sz w:val="23"/>
          <w:szCs w:val="23"/>
        </w:rPr>
        <w:t>Vanuatu, Samoa, Cook Islands, even Thailand and Bali</w:t>
      </w:r>
      <w:r w:rsidR="00B95255" w:rsidRPr="00020067">
        <w:rPr>
          <w:sz w:val="23"/>
          <w:szCs w:val="23"/>
        </w:rPr>
        <w:t xml:space="preserve"> - </w:t>
      </w:r>
      <w:r w:rsidRPr="00020067">
        <w:rPr>
          <w:sz w:val="23"/>
          <w:szCs w:val="23"/>
        </w:rPr>
        <w:t>cannot simply pass these costs to guests without consequences for market share. International travelers compare destinations. Tour operators negotiate packages across multiple countries. Price competitiveness affects booking volumes.</w:t>
      </w:r>
    </w:p>
    <w:p w14:paraId="331DDADB" w14:textId="77777777" w:rsidR="00AA2148" w:rsidRPr="00020067" w:rsidRDefault="00B771E4" w:rsidP="00B95255">
      <w:pPr>
        <w:jc w:val="both"/>
        <w:rPr>
          <w:sz w:val="23"/>
          <w:szCs w:val="23"/>
        </w:rPr>
      </w:pPr>
      <w:r w:rsidRPr="00020067">
        <w:rPr>
          <w:sz w:val="23"/>
          <w:szCs w:val="23"/>
        </w:rPr>
        <w:t>The result is margin compression that threatens tourism investment and employment. Properties operating at 10-15% margins before the increase may face elimination of profits entirely. Investment in property upgrades and expansions becomes uneconomic. Employment</w:t>
      </w:r>
      <w:r w:rsidR="00B95255" w:rsidRPr="00020067">
        <w:rPr>
          <w:sz w:val="23"/>
          <w:szCs w:val="23"/>
        </w:rPr>
        <w:t xml:space="preserve"> - </w:t>
      </w:r>
      <w:r w:rsidRPr="00020067">
        <w:rPr>
          <w:sz w:val="23"/>
          <w:szCs w:val="23"/>
        </w:rPr>
        <w:t>one of tourism's primary contributions to the Fiji economy</w:t>
      </w:r>
      <w:r w:rsidR="00B95255" w:rsidRPr="00020067">
        <w:rPr>
          <w:sz w:val="23"/>
          <w:szCs w:val="23"/>
        </w:rPr>
        <w:t xml:space="preserve"> - </w:t>
      </w:r>
      <w:r w:rsidRPr="00020067">
        <w:rPr>
          <w:sz w:val="23"/>
          <w:szCs w:val="23"/>
        </w:rPr>
        <w:t>comes under pressure as operators seek to reduce costs.</w:t>
      </w:r>
    </w:p>
    <w:p w14:paraId="1B61E3EB" w14:textId="77777777" w:rsidR="00AA2148" w:rsidRPr="00020067" w:rsidRDefault="00B771E4">
      <w:pPr>
        <w:rPr>
          <w:sz w:val="23"/>
          <w:szCs w:val="23"/>
        </w:rPr>
      </w:pPr>
      <w:r w:rsidRPr="00020067">
        <w:rPr>
          <w:b/>
          <w:sz w:val="23"/>
          <w:szCs w:val="23"/>
        </w:rPr>
        <w:t>5.4.2 Manufacturing Sector</w:t>
      </w:r>
    </w:p>
    <w:p w14:paraId="1571787A" w14:textId="77777777" w:rsidR="00AA2148" w:rsidRPr="00020067" w:rsidRDefault="00B771E4" w:rsidP="00B95255">
      <w:pPr>
        <w:jc w:val="both"/>
        <w:rPr>
          <w:sz w:val="23"/>
          <w:szCs w:val="23"/>
        </w:rPr>
      </w:pPr>
      <w:r w:rsidRPr="00020067">
        <w:rPr>
          <w:sz w:val="23"/>
          <w:szCs w:val="23"/>
        </w:rPr>
        <w:t>Manufacturing operations face existential pressure from the proposed increase. Fiji's manufacturing base</w:t>
      </w:r>
      <w:r w:rsidR="00B95255" w:rsidRPr="00020067">
        <w:rPr>
          <w:sz w:val="23"/>
          <w:szCs w:val="23"/>
        </w:rPr>
        <w:t xml:space="preserve">, </w:t>
      </w:r>
      <w:r w:rsidRPr="00020067">
        <w:rPr>
          <w:sz w:val="23"/>
          <w:szCs w:val="23"/>
        </w:rPr>
        <w:t>including food processing, garment production, beverage manufacturing, and light industrial operations</w:t>
      </w:r>
      <w:r w:rsidR="00B95255" w:rsidRPr="00020067">
        <w:rPr>
          <w:sz w:val="23"/>
          <w:szCs w:val="23"/>
        </w:rPr>
        <w:t xml:space="preserve">, </w:t>
      </w:r>
      <w:r w:rsidRPr="00020067">
        <w:rPr>
          <w:sz w:val="23"/>
          <w:szCs w:val="23"/>
        </w:rPr>
        <w:t xml:space="preserve">already operates at competitive disadvantage relative to Asian producers with lower </w:t>
      </w:r>
      <w:proofErr w:type="spellStart"/>
      <w:r w:rsidRPr="00020067">
        <w:rPr>
          <w:sz w:val="23"/>
          <w:szCs w:val="23"/>
        </w:rPr>
        <w:t>labo</w:t>
      </w:r>
      <w:r w:rsidR="00B95255" w:rsidRPr="00020067">
        <w:rPr>
          <w:sz w:val="23"/>
          <w:szCs w:val="23"/>
        </w:rPr>
        <w:t>u</w:t>
      </w:r>
      <w:r w:rsidRPr="00020067">
        <w:rPr>
          <w:sz w:val="23"/>
          <w:szCs w:val="23"/>
        </w:rPr>
        <w:t>r</w:t>
      </w:r>
      <w:proofErr w:type="spellEnd"/>
      <w:r w:rsidRPr="00020067">
        <w:rPr>
          <w:sz w:val="23"/>
          <w:szCs w:val="23"/>
        </w:rPr>
        <w:t xml:space="preserve"> and energy costs.</w:t>
      </w:r>
    </w:p>
    <w:p w14:paraId="3D27AC73" w14:textId="77777777" w:rsidR="00AA2148" w:rsidRPr="00020067" w:rsidRDefault="00B771E4" w:rsidP="00B95255">
      <w:pPr>
        <w:jc w:val="both"/>
        <w:rPr>
          <w:sz w:val="23"/>
          <w:szCs w:val="23"/>
        </w:rPr>
      </w:pPr>
      <w:r w:rsidRPr="00020067">
        <w:rPr>
          <w:sz w:val="23"/>
          <w:szCs w:val="23"/>
        </w:rPr>
        <w:t>Electricity represents 8-15% of manufacturing costs for typical Fijian producers depending on process intensity. A 34.7% increase in this cost component represents 2.7-5.2 percentage point increases in total costs</w:t>
      </w:r>
      <w:r w:rsidR="00B95255" w:rsidRPr="00020067">
        <w:rPr>
          <w:sz w:val="23"/>
          <w:szCs w:val="23"/>
        </w:rPr>
        <w:t xml:space="preserve">, </w:t>
      </w:r>
      <w:r w:rsidRPr="00020067">
        <w:rPr>
          <w:sz w:val="23"/>
          <w:szCs w:val="23"/>
        </w:rPr>
        <w:t>enough to eliminate profit margins for operations already at the edge of viability. This may be the tipping point that renders previously marginal operations uneconomic.</w:t>
      </w:r>
    </w:p>
    <w:p w14:paraId="360F803C" w14:textId="77777777" w:rsidR="00AA2148" w:rsidRPr="00020067" w:rsidRDefault="00B771E4" w:rsidP="00B95255">
      <w:pPr>
        <w:jc w:val="both"/>
        <w:rPr>
          <w:sz w:val="23"/>
          <w:szCs w:val="23"/>
        </w:rPr>
      </w:pPr>
      <w:r w:rsidRPr="00020067">
        <w:rPr>
          <w:sz w:val="23"/>
          <w:szCs w:val="23"/>
        </w:rPr>
        <w:t>The implications extend beyond individual factory closures. Manufacturing job losses eliminate employment that typically offers wages above minimum with career progression opportunities. Lost manufacturing capacity reduces economic diversification and increases import dependence. De-industrialization is difficult to reverse once capacity is lost.</w:t>
      </w:r>
    </w:p>
    <w:p w14:paraId="0BB74A14" w14:textId="77777777" w:rsidR="00AA2148" w:rsidRPr="00020067" w:rsidRDefault="00B771E4">
      <w:pPr>
        <w:rPr>
          <w:sz w:val="23"/>
          <w:szCs w:val="23"/>
        </w:rPr>
      </w:pPr>
      <w:r w:rsidRPr="00020067">
        <w:rPr>
          <w:b/>
          <w:sz w:val="23"/>
          <w:szCs w:val="23"/>
        </w:rPr>
        <w:t>5.4.3 Micro, Small and Medium Enterprises</w:t>
      </w:r>
    </w:p>
    <w:p w14:paraId="11A1914C" w14:textId="77777777" w:rsidR="00AA2148" w:rsidRPr="00020067" w:rsidRDefault="00B771E4" w:rsidP="00B95255">
      <w:pPr>
        <w:jc w:val="both"/>
        <w:rPr>
          <w:sz w:val="23"/>
          <w:szCs w:val="23"/>
        </w:rPr>
      </w:pPr>
      <w:r w:rsidRPr="00020067">
        <w:rPr>
          <w:sz w:val="23"/>
          <w:szCs w:val="23"/>
        </w:rPr>
        <w:t xml:space="preserve">For MSMEs, the proposed increase threatens business survival. Small businesses typically lack the scale to invest in energy efficiency measures, the technical expertise </w:t>
      </w:r>
      <w:r w:rsidRPr="00020067">
        <w:rPr>
          <w:sz w:val="23"/>
          <w:szCs w:val="23"/>
        </w:rPr>
        <w:lastRenderedPageBreak/>
        <w:t>to optimize electricity consumption, the market power to pass costs to customers, and the capital reserves to absorb temporary margin compression while adjusting.</w:t>
      </w:r>
    </w:p>
    <w:p w14:paraId="7E4FD4A4" w14:textId="77777777" w:rsidR="00AA2148" w:rsidRPr="00020067" w:rsidRDefault="00B771E4" w:rsidP="00B95255">
      <w:pPr>
        <w:jc w:val="both"/>
        <w:rPr>
          <w:sz w:val="23"/>
          <w:szCs w:val="23"/>
        </w:rPr>
      </w:pPr>
      <w:r w:rsidRPr="00020067">
        <w:rPr>
          <w:sz w:val="23"/>
          <w:szCs w:val="23"/>
        </w:rPr>
        <w:t>For a small retail operation with monthly electricity bills of FJD 1,000, the proposed increase adds FJD 4,140 annually to operating costs. For a restaurant with monthly bills of FJD 2,000, the annual increase is FJD 8,280. For a small manufacturer with FJD 5,000 monthly bills, annual increases exceed FJD 20,000. These amounts may exceed annual profit margins for businesses operating at typical MSME profitability levels.</w:t>
      </w:r>
    </w:p>
    <w:p w14:paraId="579D9515" w14:textId="77777777" w:rsidR="00AA2148" w:rsidRPr="00020067" w:rsidRDefault="00B771E4" w:rsidP="00B95255">
      <w:pPr>
        <w:jc w:val="both"/>
        <w:rPr>
          <w:sz w:val="23"/>
          <w:szCs w:val="23"/>
        </w:rPr>
      </w:pPr>
      <w:r w:rsidRPr="00020067">
        <w:rPr>
          <w:sz w:val="23"/>
          <w:szCs w:val="23"/>
        </w:rPr>
        <w:t>The MSME sector employs a significant proportion of Fiji's workforce, provides livelihoods for entrepreneurs and their families, and represents the foundation of private sector development. Policies that threaten MSME viability have implications far beyond the individual businesses affected.</w:t>
      </w:r>
    </w:p>
    <w:p w14:paraId="536D2A0F" w14:textId="77777777" w:rsidR="00AA2148" w:rsidRPr="00020067" w:rsidRDefault="00B771E4">
      <w:pPr>
        <w:rPr>
          <w:sz w:val="23"/>
          <w:szCs w:val="23"/>
        </w:rPr>
      </w:pPr>
      <w:r w:rsidRPr="00020067">
        <w:rPr>
          <w:b/>
          <w:sz w:val="23"/>
          <w:szCs w:val="23"/>
        </w:rPr>
        <w:t>5.4.4 Textile, Clothing &amp; Footwear (TCF) Sector</w:t>
      </w:r>
    </w:p>
    <w:p w14:paraId="1DF35CB7" w14:textId="77777777" w:rsidR="00AA2148" w:rsidRPr="00020067" w:rsidRDefault="00B771E4" w:rsidP="00B95255">
      <w:pPr>
        <w:jc w:val="both"/>
        <w:rPr>
          <w:sz w:val="23"/>
          <w:szCs w:val="23"/>
        </w:rPr>
      </w:pPr>
      <w:r w:rsidRPr="00020067">
        <w:rPr>
          <w:sz w:val="23"/>
          <w:szCs w:val="23"/>
        </w:rPr>
        <w:t>The TCF sector submission illustrates the disproportionate impact on energy-intensive industries:</w:t>
      </w:r>
    </w:p>
    <w:p w14:paraId="1C38951A" w14:textId="77777777" w:rsidR="00AA2148" w:rsidRPr="00020067" w:rsidRDefault="00B771E4" w:rsidP="00B95255">
      <w:pPr>
        <w:pStyle w:val="ListBullet"/>
        <w:jc w:val="both"/>
        <w:rPr>
          <w:sz w:val="23"/>
          <w:szCs w:val="23"/>
        </w:rPr>
      </w:pPr>
      <w:r w:rsidRPr="00020067">
        <w:rPr>
          <w:sz w:val="23"/>
          <w:szCs w:val="23"/>
        </w:rPr>
        <w:t>Employment in TCF has already declined from 7,000 workers to fewer than 4,000</w:t>
      </w:r>
    </w:p>
    <w:p w14:paraId="41BCB7E6" w14:textId="77777777" w:rsidR="00AA2148" w:rsidRPr="00020067" w:rsidRDefault="00B771E4" w:rsidP="00B95255">
      <w:pPr>
        <w:pStyle w:val="ListBullet"/>
        <w:jc w:val="both"/>
        <w:rPr>
          <w:sz w:val="23"/>
          <w:szCs w:val="23"/>
        </w:rPr>
      </w:pPr>
      <w:r w:rsidRPr="00020067">
        <w:rPr>
          <w:sz w:val="23"/>
          <w:szCs w:val="23"/>
        </w:rPr>
        <w:t>Garment exports fell from FJD 83.5M (2023) to FJD 66.4M (2024) to FJD 50.8M (Jan-Sep 2025)</w:t>
      </w:r>
    </w:p>
    <w:p w14:paraId="7FE7C7E5" w14:textId="77777777" w:rsidR="00AA2148" w:rsidRPr="00020067" w:rsidRDefault="00B771E4" w:rsidP="00B95255">
      <w:pPr>
        <w:pStyle w:val="ListBullet"/>
        <w:jc w:val="both"/>
        <w:rPr>
          <w:sz w:val="23"/>
          <w:szCs w:val="23"/>
        </w:rPr>
      </w:pPr>
      <w:r w:rsidRPr="00020067">
        <w:rPr>
          <w:sz w:val="23"/>
          <w:szCs w:val="23"/>
        </w:rPr>
        <w:t>The sector competes with Bangladesh, Vietnam, and China where energy costs are significantly lower</w:t>
      </w:r>
    </w:p>
    <w:p w14:paraId="79EC981F" w14:textId="77777777" w:rsidR="00AA2148" w:rsidRPr="00020067" w:rsidRDefault="00B771E4" w:rsidP="00B95255">
      <w:pPr>
        <w:pStyle w:val="ListBullet"/>
        <w:jc w:val="both"/>
        <w:rPr>
          <w:sz w:val="23"/>
          <w:szCs w:val="23"/>
        </w:rPr>
      </w:pPr>
      <w:r w:rsidRPr="00020067">
        <w:rPr>
          <w:sz w:val="23"/>
          <w:szCs w:val="23"/>
        </w:rPr>
        <w:t>Higher tariffs risk accelerating factory closures and relocation to lower-cost jurisdictions</w:t>
      </w:r>
    </w:p>
    <w:p w14:paraId="0494C7E3" w14:textId="77777777" w:rsidR="00AA2148" w:rsidRPr="00020067" w:rsidRDefault="00B771E4">
      <w:pPr>
        <w:pStyle w:val="Heading2"/>
        <w:rPr>
          <w:sz w:val="28"/>
          <w:szCs w:val="23"/>
        </w:rPr>
      </w:pPr>
      <w:r w:rsidRPr="00020067">
        <w:rPr>
          <w:color w:val="000000"/>
          <w:sz w:val="28"/>
          <w:szCs w:val="23"/>
        </w:rPr>
        <w:t>5.5 Risk of Utility Death Spiral</w:t>
      </w:r>
    </w:p>
    <w:p w14:paraId="5AC51539" w14:textId="77777777" w:rsidR="00AA2148" w:rsidRPr="00020067" w:rsidRDefault="00B771E4" w:rsidP="00A93C26">
      <w:pPr>
        <w:jc w:val="both"/>
        <w:rPr>
          <w:sz w:val="23"/>
          <w:szCs w:val="23"/>
        </w:rPr>
      </w:pPr>
      <w:r w:rsidRPr="00020067">
        <w:rPr>
          <w:sz w:val="23"/>
          <w:szCs w:val="23"/>
        </w:rPr>
        <w:t>High commercial tariffs create incentives for large electricity users to exit the grid through self-generation, reducing EFL's revenue base and increasing unit costs for re</w:t>
      </w:r>
      <w:r w:rsidR="008351A7" w:rsidRPr="00020067">
        <w:rPr>
          <w:sz w:val="23"/>
          <w:szCs w:val="23"/>
        </w:rPr>
        <w:t xml:space="preserve">maining customers. This dynamic - </w:t>
      </w:r>
      <w:r w:rsidRPr="00020067">
        <w:rPr>
          <w:sz w:val="23"/>
          <w:szCs w:val="23"/>
        </w:rPr>
        <w:t>documented i</w:t>
      </w:r>
      <w:r w:rsidR="008351A7" w:rsidRPr="00020067">
        <w:rPr>
          <w:sz w:val="23"/>
          <w:szCs w:val="23"/>
        </w:rPr>
        <w:t xml:space="preserve">n electricity systems worldwide - </w:t>
      </w:r>
      <w:r w:rsidRPr="00020067">
        <w:rPr>
          <w:sz w:val="23"/>
          <w:szCs w:val="23"/>
        </w:rPr>
        <w:t>can become self-reinforcing.</w:t>
      </w:r>
    </w:p>
    <w:p w14:paraId="55CC09AB" w14:textId="77777777" w:rsidR="00AA2148" w:rsidRPr="00020067" w:rsidRDefault="00B771E4" w:rsidP="00A93C26">
      <w:pPr>
        <w:jc w:val="both"/>
        <w:rPr>
          <w:sz w:val="23"/>
          <w:szCs w:val="23"/>
        </w:rPr>
      </w:pPr>
      <w:r w:rsidRPr="00020067">
        <w:rPr>
          <w:sz w:val="23"/>
          <w:szCs w:val="23"/>
        </w:rPr>
        <w:t>Large commercial users are best positioned to invest in solar-plus-storage self-generation. At current solar costs and a 34.7% commercial tariff increase, the payback period for behind-the-meter solar with battery backup becomes compelling for many large users. Major hotels, manufacturing facilities, supermarkets, and commercial buildings can justify capital investment in self-generation that would have been marginal at lower tariff levels.</w:t>
      </w:r>
    </w:p>
    <w:p w14:paraId="0F9BB66C" w14:textId="77777777" w:rsidR="00AA2148" w:rsidRPr="00020067" w:rsidRDefault="00B771E4" w:rsidP="00A93C26">
      <w:pPr>
        <w:jc w:val="both"/>
        <w:rPr>
          <w:sz w:val="23"/>
          <w:szCs w:val="23"/>
        </w:rPr>
      </w:pPr>
      <w:r w:rsidRPr="00020067">
        <w:rPr>
          <w:sz w:val="23"/>
          <w:szCs w:val="23"/>
        </w:rPr>
        <w:t>Each large customer that reduces grid purchases or exits entirely reduces EFL's revenue while fixed network costs remain unchanged. The same transmission and distribution network must be maintained regardless of throughput. The result is that remaining customers must cover fixed costs across a smaller revenue base, mathematically requiring higher per-unit charges to recover the same fixed cost pool.</w:t>
      </w:r>
    </w:p>
    <w:p w14:paraId="63B203C8" w14:textId="77777777" w:rsidR="00AA2148" w:rsidRPr="00020067" w:rsidRDefault="00B771E4" w:rsidP="00A93C26">
      <w:pPr>
        <w:jc w:val="both"/>
        <w:rPr>
          <w:sz w:val="23"/>
          <w:szCs w:val="23"/>
        </w:rPr>
      </w:pPr>
      <w:r w:rsidRPr="00020067">
        <w:rPr>
          <w:sz w:val="23"/>
          <w:szCs w:val="23"/>
        </w:rPr>
        <w:lastRenderedPageBreak/>
        <w:t>This creates a feedback loop: higher tariffs drive grid defection; grid defection raises unit costs; higher unit costs drive further defection. Utilities that trigger this dynamic find it extremely difficult to reverse. The Commission should assess death spiral risk before approving tariff increases that may accelerate grid defection by large customers.</w:t>
      </w:r>
    </w:p>
    <w:tbl>
      <w:tblPr>
        <w:tblW w:w="0" w:type="auto"/>
        <w:jc w:val="center"/>
        <w:tblLook w:val="04A0" w:firstRow="1" w:lastRow="0" w:firstColumn="1" w:lastColumn="0" w:noHBand="0" w:noVBand="1"/>
      </w:tblPr>
      <w:tblGrid>
        <w:gridCol w:w="8640"/>
      </w:tblGrid>
      <w:tr w:rsidR="00AA2148" w14:paraId="25A9C05B" w14:textId="77777777">
        <w:trPr>
          <w:jc w:val="center"/>
        </w:trPr>
        <w:tc>
          <w:tcPr>
            <w:tcW w:w="8640" w:type="dxa"/>
            <w:shd w:val="clear" w:color="auto" w:fill="E8F4F8"/>
          </w:tcPr>
          <w:p w14:paraId="3F47F27D" w14:textId="77777777" w:rsidR="00AA2148" w:rsidRPr="0075766B" w:rsidRDefault="00B771E4">
            <w:pPr>
              <w:rPr>
                <w:sz w:val="23"/>
                <w:szCs w:val="23"/>
              </w:rPr>
            </w:pPr>
            <w:r w:rsidRPr="0075766B">
              <w:rPr>
                <w:b/>
                <w:sz w:val="23"/>
                <w:szCs w:val="23"/>
              </w:rPr>
              <w:t>Key Points – Section 5:</w:t>
            </w:r>
          </w:p>
          <w:p w14:paraId="462E6F4A" w14:textId="77777777" w:rsidR="00AA2148" w:rsidRPr="0075766B" w:rsidRDefault="00B771E4" w:rsidP="00C260BE">
            <w:pPr>
              <w:pStyle w:val="ListBullet"/>
              <w:spacing w:line="300" w:lineRule="auto"/>
              <w:ind w:left="357" w:hanging="357"/>
              <w:jc w:val="both"/>
              <w:rPr>
                <w:sz w:val="21"/>
                <w:szCs w:val="21"/>
              </w:rPr>
            </w:pPr>
            <w:r w:rsidRPr="0075766B">
              <w:rPr>
                <w:sz w:val="21"/>
                <w:szCs w:val="21"/>
              </w:rPr>
              <w:t>Fiji's businesses have absorbed 87% minimum wage increases, 25% corporate tax increases, 39% VA</w:t>
            </w:r>
            <w:r w:rsidR="000E43B0" w:rsidRPr="0075766B">
              <w:rPr>
                <w:sz w:val="21"/>
                <w:szCs w:val="21"/>
              </w:rPr>
              <w:t>T increases, and up to 13</w:t>
            </w:r>
            <w:r w:rsidRPr="0075766B">
              <w:rPr>
                <w:sz w:val="21"/>
                <w:szCs w:val="21"/>
              </w:rPr>
              <w:t>% cumulative inflation since 2021</w:t>
            </w:r>
            <w:r w:rsidR="00A93C26" w:rsidRPr="0075766B">
              <w:rPr>
                <w:sz w:val="21"/>
                <w:szCs w:val="21"/>
              </w:rPr>
              <w:t xml:space="preserve"> - </w:t>
            </w:r>
            <w:r w:rsidRPr="0075766B">
              <w:rPr>
                <w:sz w:val="21"/>
                <w:szCs w:val="21"/>
              </w:rPr>
              <w:t>no absorption capacity remains for a 34.7% electricity increase.</w:t>
            </w:r>
          </w:p>
          <w:p w14:paraId="7E704777" w14:textId="77777777" w:rsidR="00AA2148" w:rsidRPr="0075766B" w:rsidRDefault="00B771E4" w:rsidP="00C260BE">
            <w:pPr>
              <w:pStyle w:val="ListBullet"/>
              <w:spacing w:line="300" w:lineRule="auto"/>
              <w:ind w:left="357" w:hanging="357"/>
              <w:jc w:val="both"/>
              <w:rPr>
                <w:sz w:val="21"/>
                <w:szCs w:val="21"/>
              </w:rPr>
            </w:pPr>
            <w:r w:rsidRPr="0075766B">
              <w:rPr>
                <w:sz w:val="21"/>
                <w:szCs w:val="21"/>
              </w:rPr>
              <w:t>Fiji's population growth of 0.2% annually with 114,000+ emigration departures since 2018 challenges EFL's 5% annual demand growth projections.</w:t>
            </w:r>
          </w:p>
          <w:p w14:paraId="34729B6A" w14:textId="77777777" w:rsidR="00AA2148" w:rsidRPr="0075766B" w:rsidRDefault="00B771E4" w:rsidP="00C260BE">
            <w:pPr>
              <w:pStyle w:val="ListBullet"/>
              <w:spacing w:line="300" w:lineRule="auto"/>
              <w:ind w:left="357" w:hanging="357"/>
              <w:jc w:val="both"/>
              <w:rPr>
                <w:sz w:val="21"/>
                <w:szCs w:val="21"/>
              </w:rPr>
            </w:pPr>
            <w:r w:rsidRPr="0075766B">
              <w:rPr>
                <w:sz w:val="21"/>
                <w:szCs w:val="21"/>
              </w:rPr>
              <w:t>Commercial tariff increases transmit through supply chains to all consumers regardless of residential electricity tier</w:t>
            </w:r>
            <w:r w:rsidR="00A93C26" w:rsidRPr="0075766B">
              <w:rPr>
                <w:sz w:val="21"/>
                <w:szCs w:val="21"/>
              </w:rPr>
              <w:t xml:space="preserve"> - </w:t>
            </w:r>
            <w:r w:rsidRPr="0075766B">
              <w:rPr>
                <w:sz w:val="21"/>
                <w:szCs w:val="21"/>
              </w:rPr>
              <w:t>the '97% protected' claim is misleading.</w:t>
            </w:r>
          </w:p>
          <w:p w14:paraId="2BC0FCAA" w14:textId="77777777" w:rsidR="00AA2148" w:rsidRDefault="00B771E4" w:rsidP="00C260BE">
            <w:pPr>
              <w:pStyle w:val="ListBullet"/>
              <w:spacing w:line="300" w:lineRule="auto"/>
              <w:ind w:left="357" w:hanging="357"/>
              <w:jc w:val="both"/>
            </w:pPr>
            <w:r w:rsidRPr="0075766B">
              <w:rPr>
                <w:sz w:val="21"/>
                <w:szCs w:val="21"/>
              </w:rPr>
              <w:t>High commercial tariffs risk triggering a utility death spiral as large customers invest in self-generation, reducing EFL's revenue base while fixed costs remain.</w:t>
            </w:r>
          </w:p>
        </w:tc>
      </w:tr>
    </w:tbl>
    <w:p w14:paraId="7C45182E" w14:textId="77777777" w:rsidR="00AA2148" w:rsidRPr="0075766B" w:rsidRDefault="00B771E4">
      <w:pPr>
        <w:pStyle w:val="Heading1"/>
        <w:rPr>
          <w:sz w:val="32"/>
        </w:rPr>
      </w:pPr>
      <w:r w:rsidRPr="0075766B">
        <w:rPr>
          <w:color w:val="000000"/>
          <w:sz w:val="32"/>
        </w:rPr>
        <w:t>6. LEAST-COST ALTERNATIVES NOT DEMONSTRATED</w:t>
      </w:r>
    </w:p>
    <w:p w14:paraId="01BD949A" w14:textId="77777777" w:rsidR="00AA2148" w:rsidRPr="0075766B" w:rsidRDefault="00B771E4" w:rsidP="00A93C26">
      <w:pPr>
        <w:jc w:val="both"/>
        <w:rPr>
          <w:sz w:val="23"/>
          <w:szCs w:val="23"/>
        </w:rPr>
      </w:pPr>
      <w:r w:rsidRPr="0075766B">
        <w:rPr>
          <w:sz w:val="23"/>
          <w:szCs w:val="23"/>
        </w:rPr>
        <w:t>Sound utility regulation requires demonstration that proposed investments represent the least-cost pathway to meeting demand reliably. The Commission has not required this demonstration. Available evidence suggests that solar-plus-storage is substantially cheaper than diesel over asset lifecycles, that competitive procurement could reduce costs further, and that concessional climate financing may be available.</w:t>
      </w:r>
    </w:p>
    <w:p w14:paraId="60FA7D08" w14:textId="77777777" w:rsidR="00AA2148" w:rsidRPr="0075766B" w:rsidRDefault="00B771E4">
      <w:pPr>
        <w:pStyle w:val="Heading2"/>
        <w:rPr>
          <w:sz w:val="28"/>
        </w:rPr>
      </w:pPr>
      <w:r w:rsidRPr="0075766B">
        <w:rPr>
          <w:color w:val="000000"/>
          <w:sz w:val="28"/>
        </w:rPr>
        <w:t>6.1 The Statutory Requirement</w:t>
      </w:r>
    </w:p>
    <w:p w14:paraId="049B98BE" w14:textId="77777777" w:rsidR="00AA2148" w:rsidRPr="0075766B" w:rsidRDefault="00B771E4" w:rsidP="00A93C26">
      <w:pPr>
        <w:jc w:val="both"/>
        <w:rPr>
          <w:sz w:val="23"/>
          <w:szCs w:val="23"/>
        </w:rPr>
      </w:pPr>
      <w:r w:rsidRPr="0075766B">
        <w:rPr>
          <w:sz w:val="23"/>
          <w:szCs w:val="23"/>
        </w:rPr>
        <w:t>The Electricity Act requires that charges reflect only efficient costs. A determination that has not tested whether proposed costs are efficient or whether lower-cost alternatives exist cannot satisfy this statutory requirement. The Commission has not disclosed any analysis demonstrating that EFL's proposed capital program represents the least-cost pathway to meet Fiji's electricity needs.</w:t>
      </w:r>
    </w:p>
    <w:p w14:paraId="603F6CAA" w14:textId="77777777" w:rsidR="00AA2148" w:rsidRPr="0075766B" w:rsidRDefault="00B771E4">
      <w:pPr>
        <w:pStyle w:val="Heading2"/>
        <w:rPr>
          <w:sz w:val="28"/>
        </w:rPr>
      </w:pPr>
      <w:r w:rsidRPr="0075766B">
        <w:rPr>
          <w:color w:val="000000"/>
          <w:sz w:val="28"/>
        </w:rPr>
        <w:t>6.2 Lifecycle Cost Comparison</w:t>
      </w:r>
    </w:p>
    <w:p w14:paraId="7C38A612" w14:textId="77777777" w:rsidR="00AA2148" w:rsidRPr="0075766B" w:rsidRDefault="00B771E4" w:rsidP="00A93C26">
      <w:pPr>
        <w:jc w:val="both"/>
        <w:rPr>
          <w:sz w:val="23"/>
          <w:szCs w:val="23"/>
        </w:rPr>
      </w:pPr>
      <w:r w:rsidRPr="0075766B">
        <w:rPr>
          <w:sz w:val="23"/>
          <w:szCs w:val="23"/>
        </w:rPr>
        <w:t>The following comparison uses conservative assumptions and demonstrates that solar-plus-storage delivers electricity at 50-70% lower lifecycle cost than diesel generation.</w:t>
      </w:r>
    </w:p>
    <w:p w14:paraId="24480B75" w14:textId="77777777" w:rsidR="00AA2148" w:rsidRPr="0075766B" w:rsidRDefault="00B771E4" w:rsidP="00A93C26">
      <w:pPr>
        <w:jc w:val="both"/>
        <w:rPr>
          <w:sz w:val="23"/>
          <w:szCs w:val="23"/>
        </w:rPr>
      </w:pPr>
      <w:r w:rsidRPr="0075766B">
        <w:rPr>
          <w:sz w:val="23"/>
          <w:szCs w:val="23"/>
        </w:rPr>
        <w:t xml:space="preserve">Solar-plus-storage LCOE is approximately FJD 0.10-0.15/kWh with </w:t>
      </w:r>
      <w:proofErr w:type="gramStart"/>
      <w:r w:rsidRPr="0075766B">
        <w:rPr>
          <w:sz w:val="23"/>
          <w:szCs w:val="23"/>
        </w:rPr>
        <w:t>20-25 year</w:t>
      </w:r>
      <w:proofErr w:type="gramEnd"/>
      <w:r w:rsidRPr="0075766B">
        <w:rPr>
          <w:sz w:val="23"/>
          <w:szCs w:val="23"/>
        </w:rPr>
        <w:t xml:space="preserve"> equipment life and minimal fuel cost. Diesel generation LCOE is approximately FJD 0.35-0.45/kWh with significant fuel price volatility exposure and ongoing maintenance requirements.</w:t>
      </w:r>
    </w:p>
    <w:p w14:paraId="7AEC5859" w14:textId="77777777" w:rsidR="00AA2148" w:rsidRPr="0075766B" w:rsidRDefault="00B771E4" w:rsidP="00A93C26">
      <w:pPr>
        <w:jc w:val="both"/>
        <w:rPr>
          <w:sz w:val="23"/>
          <w:szCs w:val="23"/>
        </w:rPr>
      </w:pPr>
      <w:r w:rsidRPr="0075766B">
        <w:rPr>
          <w:sz w:val="23"/>
          <w:szCs w:val="23"/>
        </w:rPr>
        <w:t>A regulatory process that approves diesel-intensive capital programs without requiring this lifecycle comparison fails to satisfy statutory efficiency requirements.</w:t>
      </w:r>
    </w:p>
    <w:p w14:paraId="58064E29" w14:textId="77777777" w:rsidR="00AA2148" w:rsidRPr="0075766B" w:rsidRDefault="00B771E4">
      <w:pPr>
        <w:pStyle w:val="Heading2"/>
        <w:rPr>
          <w:sz w:val="28"/>
        </w:rPr>
      </w:pPr>
      <w:r w:rsidRPr="0075766B">
        <w:rPr>
          <w:color w:val="000000"/>
          <w:sz w:val="28"/>
        </w:rPr>
        <w:lastRenderedPageBreak/>
        <w:t>6.3 Climate Finance Opportunities</w:t>
      </w:r>
    </w:p>
    <w:p w14:paraId="04F1503E" w14:textId="77777777" w:rsidR="00AA2148" w:rsidRPr="0075766B" w:rsidRDefault="00B771E4" w:rsidP="00A93C26">
      <w:pPr>
        <w:jc w:val="both"/>
        <w:rPr>
          <w:sz w:val="23"/>
          <w:szCs w:val="23"/>
        </w:rPr>
      </w:pPr>
      <w:r w:rsidRPr="0075766B">
        <w:rPr>
          <w:sz w:val="23"/>
          <w:szCs w:val="23"/>
        </w:rPr>
        <w:t>Fiji has been a global leader in climate advocacy. The Green Climate Fund, Asian Development Bank, World Bank, and bilateral climate programs offer concessional financing specifically for renewable energy transition in Pacific island nations. The Commission should require demonstration that these concessional options have been fully explored before approving consumer-funded capital recovery at commercial rates.</w:t>
      </w:r>
    </w:p>
    <w:tbl>
      <w:tblPr>
        <w:tblW w:w="0" w:type="auto"/>
        <w:jc w:val="center"/>
        <w:tblLook w:val="04A0" w:firstRow="1" w:lastRow="0" w:firstColumn="1" w:lastColumn="0" w:noHBand="0" w:noVBand="1"/>
      </w:tblPr>
      <w:tblGrid>
        <w:gridCol w:w="8640"/>
      </w:tblGrid>
      <w:tr w:rsidR="00AA2148" w14:paraId="390C0557" w14:textId="77777777">
        <w:trPr>
          <w:jc w:val="center"/>
        </w:trPr>
        <w:tc>
          <w:tcPr>
            <w:tcW w:w="8640" w:type="dxa"/>
            <w:shd w:val="clear" w:color="auto" w:fill="E8F4F8"/>
          </w:tcPr>
          <w:p w14:paraId="38A009BB" w14:textId="77777777" w:rsidR="00AA2148" w:rsidRPr="0075766B" w:rsidRDefault="00B771E4">
            <w:pPr>
              <w:rPr>
                <w:sz w:val="23"/>
                <w:szCs w:val="23"/>
              </w:rPr>
            </w:pPr>
            <w:r w:rsidRPr="0075766B">
              <w:rPr>
                <w:b/>
                <w:sz w:val="23"/>
                <w:szCs w:val="23"/>
              </w:rPr>
              <w:t>Key Points – Section 6:</w:t>
            </w:r>
          </w:p>
          <w:p w14:paraId="6EA20F0A" w14:textId="77777777" w:rsidR="00B771E4" w:rsidRPr="0075766B" w:rsidRDefault="00B771E4" w:rsidP="00066304">
            <w:pPr>
              <w:pStyle w:val="ListBullet"/>
              <w:spacing w:line="300" w:lineRule="auto"/>
              <w:ind w:left="357" w:hanging="357"/>
              <w:jc w:val="both"/>
              <w:rPr>
                <w:sz w:val="21"/>
                <w:szCs w:val="21"/>
              </w:rPr>
            </w:pPr>
            <w:r w:rsidRPr="0075766B">
              <w:rPr>
                <w:sz w:val="21"/>
                <w:szCs w:val="21"/>
              </w:rPr>
              <w:t>The Electricity Act requires charges reflect only efficient costs</w:t>
            </w:r>
            <w:r w:rsidR="00A93C26" w:rsidRPr="0075766B">
              <w:rPr>
                <w:sz w:val="21"/>
                <w:szCs w:val="21"/>
              </w:rPr>
              <w:t xml:space="preserve"> - </w:t>
            </w:r>
            <w:r w:rsidRPr="0075766B">
              <w:rPr>
                <w:sz w:val="21"/>
                <w:szCs w:val="21"/>
              </w:rPr>
              <w:t>the Commission has not disclosed any analysis demonstrating that EFL's proposed capital program represents the least-cost pathway to meet Fiji's electricity needs.</w:t>
            </w:r>
          </w:p>
          <w:p w14:paraId="5A27F71B" w14:textId="77777777" w:rsidR="00AA2148" w:rsidRPr="0075766B" w:rsidRDefault="00B771E4" w:rsidP="00066304">
            <w:pPr>
              <w:pStyle w:val="ListBullet"/>
              <w:spacing w:line="300" w:lineRule="auto"/>
              <w:ind w:left="357" w:hanging="357"/>
              <w:jc w:val="both"/>
              <w:rPr>
                <w:sz w:val="21"/>
                <w:szCs w:val="21"/>
              </w:rPr>
            </w:pPr>
            <w:r w:rsidRPr="0075766B">
              <w:rPr>
                <w:sz w:val="21"/>
                <w:szCs w:val="21"/>
              </w:rPr>
              <w:t>Solar-plus-storage delivers electricity at 50-70% lower lifecycle cost than diesel</w:t>
            </w:r>
            <w:r w:rsidR="00A93C26" w:rsidRPr="0075766B">
              <w:rPr>
                <w:sz w:val="21"/>
                <w:szCs w:val="21"/>
              </w:rPr>
              <w:t xml:space="preserve"> - </w:t>
            </w:r>
            <w:r w:rsidRPr="0075766B">
              <w:rPr>
                <w:sz w:val="21"/>
                <w:szCs w:val="21"/>
              </w:rPr>
              <w:t>yet the determination does not require this analysis.</w:t>
            </w:r>
          </w:p>
          <w:p w14:paraId="4A3FA60B" w14:textId="77777777" w:rsidR="00AA2148" w:rsidRPr="0075766B" w:rsidRDefault="00B771E4" w:rsidP="00066304">
            <w:pPr>
              <w:pStyle w:val="ListBullet"/>
              <w:spacing w:line="300" w:lineRule="auto"/>
              <w:ind w:left="357" w:hanging="357"/>
              <w:jc w:val="both"/>
              <w:rPr>
                <w:sz w:val="21"/>
                <w:szCs w:val="21"/>
              </w:rPr>
            </w:pPr>
            <w:r w:rsidRPr="0075766B">
              <w:rPr>
                <w:sz w:val="21"/>
                <w:szCs w:val="21"/>
              </w:rPr>
              <w:t>IPP frameworks enable competitive procurement that tests utility cost efficiency</w:t>
            </w:r>
            <w:r w:rsidR="00A93C26" w:rsidRPr="0075766B">
              <w:rPr>
                <w:sz w:val="21"/>
                <w:szCs w:val="21"/>
              </w:rPr>
              <w:t xml:space="preserve"> - m</w:t>
            </w:r>
            <w:r w:rsidRPr="0075766B">
              <w:rPr>
                <w:sz w:val="21"/>
                <w:szCs w:val="21"/>
              </w:rPr>
              <w:t>inimal IPP utilization means consumers cannot know if EFL's costs are competitive.</w:t>
            </w:r>
          </w:p>
          <w:p w14:paraId="06D1C8AB" w14:textId="77777777" w:rsidR="00AA2148" w:rsidRDefault="00B771E4" w:rsidP="00066304">
            <w:pPr>
              <w:pStyle w:val="ListBullet"/>
              <w:spacing w:line="300" w:lineRule="auto"/>
              <w:ind w:left="357" w:hanging="357"/>
              <w:jc w:val="both"/>
            </w:pPr>
            <w:r w:rsidRPr="0075766B">
              <w:rPr>
                <w:sz w:val="21"/>
                <w:szCs w:val="21"/>
              </w:rPr>
              <w:t>Concessional climate financing from GCF, ADB, and World Bank is available for Pacific renewable transition</w:t>
            </w:r>
            <w:r w:rsidR="00A93C26" w:rsidRPr="0075766B">
              <w:rPr>
                <w:sz w:val="21"/>
                <w:szCs w:val="21"/>
              </w:rPr>
              <w:t xml:space="preserve"> - </w:t>
            </w:r>
            <w:r w:rsidRPr="0075766B">
              <w:rPr>
                <w:sz w:val="21"/>
                <w:szCs w:val="21"/>
              </w:rPr>
              <w:t>no evidence this has been fully explored.</w:t>
            </w:r>
          </w:p>
        </w:tc>
      </w:tr>
    </w:tbl>
    <w:p w14:paraId="1D359D72" w14:textId="77777777" w:rsidR="00AA2148" w:rsidRPr="0075766B" w:rsidRDefault="00B771E4">
      <w:pPr>
        <w:pStyle w:val="Heading1"/>
        <w:rPr>
          <w:sz w:val="32"/>
        </w:rPr>
      </w:pPr>
      <w:r w:rsidRPr="0075766B">
        <w:rPr>
          <w:color w:val="000000"/>
          <w:sz w:val="32"/>
        </w:rPr>
        <w:t>7. PERFORMANCE ACCOUNTABILITY AND PRIOR ALLOWANCES</w:t>
      </w:r>
    </w:p>
    <w:p w14:paraId="2CE5D2CA" w14:textId="77777777" w:rsidR="00AA2148" w:rsidRPr="0075766B" w:rsidRDefault="00B771E4" w:rsidP="00A93C26">
      <w:pPr>
        <w:jc w:val="both"/>
        <w:rPr>
          <w:sz w:val="23"/>
          <w:szCs w:val="23"/>
        </w:rPr>
      </w:pPr>
      <w:r w:rsidRPr="0075766B">
        <w:rPr>
          <w:sz w:val="23"/>
          <w:szCs w:val="23"/>
        </w:rPr>
        <w:t>In 2019, a</w:t>
      </w:r>
      <w:r w:rsidR="00A93C26" w:rsidRPr="0075766B">
        <w:rPr>
          <w:sz w:val="23"/>
          <w:szCs w:val="23"/>
        </w:rPr>
        <w:t>n approximately</w:t>
      </w:r>
      <w:r w:rsidRPr="0075766B">
        <w:rPr>
          <w:sz w:val="23"/>
          <w:szCs w:val="23"/>
        </w:rPr>
        <w:t xml:space="preserve"> 2% tariff increase was awarded to EFL for similar objectives</w:t>
      </w:r>
      <w:r w:rsidR="00A93C26" w:rsidRPr="0075766B">
        <w:rPr>
          <w:sz w:val="23"/>
          <w:szCs w:val="23"/>
        </w:rPr>
        <w:t xml:space="preserve"> - </w:t>
      </w:r>
      <w:r w:rsidRPr="0075766B">
        <w:rPr>
          <w:sz w:val="23"/>
          <w:szCs w:val="23"/>
        </w:rPr>
        <w:t>investment and reliability improvements. The record indicates that EFL did not meet the expected targets associated with that increase. Before approving a new and materially larger increase, the Commission should establish what was delivered against prior commitments.</w:t>
      </w:r>
    </w:p>
    <w:p w14:paraId="07D467F4" w14:textId="77777777" w:rsidR="00AA2148" w:rsidRPr="0075766B" w:rsidRDefault="00B771E4">
      <w:pPr>
        <w:pStyle w:val="Heading2"/>
        <w:rPr>
          <w:sz w:val="28"/>
        </w:rPr>
      </w:pPr>
      <w:r w:rsidRPr="0075766B">
        <w:rPr>
          <w:color w:val="000000"/>
          <w:sz w:val="28"/>
        </w:rPr>
        <w:t>7.1 System Reliability Performance: Planned Outages</w:t>
      </w:r>
    </w:p>
    <w:p w14:paraId="7AA4A393" w14:textId="77777777" w:rsidR="00AA2148" w:rsidRPr="0075766B" w:rsidRDefault="00B771E4" w:rsidP="00A93C26">
      <w:pPr>
        <w:jc w:val="both"/>
        <w:rPr>
          <w:sz w:val="23"/>
          <w:szCs w:val="23"/>
        </w:rPr>
      </w:pPr>
      <w:r w:rsidRPr="0075766B">
        <w:rPr>
          <w:sz w:val="23"/>
          <w:szCs w:val="23"/>
        </w:rPr>
        <w:t>Before additional revenue allowances are granted, the Commission should require accounting for outcomes delivered under previous allowances. System reliability data raises questions about whether prior tariff approvals achieved their intended improvements.</w:t>
      </w:r>
    </w:p>
    <w:tbl>
      <w:tblPr>
        <w:tblStyle w:val="TableGrid"/>
        <w:tblW w:w="7567" w:type="dxa"/>
        <w:tblInd w:w="392" w:type="dxa"/>
        <w:tblLook w:val="04A0" w:firstRow="1" w:lastRow="0" w:firstColumn="1" w:lastColumn="0" w:noHBand="0" w:noVBand="1"/>
      </w:tblPr>
      <w:tblGrid>
        <w:gridCol w:w="2693"/>
        <w:gridCol w:w="2693"/>
        <w:gridCol w:w="2181"/>
      </w:tblGrid>
      <w:tr w:rsidR="00AA2148" w:rsidRPr="0075766B" w14:paraId="493AC95D" w14:textId="77777777" w:rsidTr="00A93C26">
        <w:tc>
          <w:tcPr>
            <w:tcW w:w="2693" w:type="dxa"/>
            <w:shd w:val="clear" w:color="auto" w:fill="D5E8F0"/>
          </w:tcPr>
          <w:p w14:paraId="1924377D" w14:textId="77777777" w:rsidR="00AA2148" w:rsidRPr="0075766B" w:rsidRDefault="00B771E4">
            <w:pPr>
              <w:rPr>
                <w:sz w:val="21"/>
                <w:szCs w:val="21"/>
              </w:rPr>
            </w:pPr>
            <w:r w:rsidRPr="0075766B">
              <w:rPr>
                <w:b/>
                <w:sz w:val="21"/>
                <w:szCs w:val="21"/>
              </w:rPr>
              <w:t>Metric</w:t>
            </w:r>
          </w:p>
        </w:tc>
        <w:tc>
          <w:tcPr>
            <w:tcW w:w="2693" w:type="dxa"/>
            <w:shd w:val="clear" w:color="auto" w:fill="D5E8F0"/>
          </w:tcPr>
          <w:p w14:paraId="1D717E45" w14:textId="77777777" w:rsidR="00AA2148" w:rsidRPr="0075766B" w:rsidRDefault="00B771E4">
            <w:pPr>
              <w:rPr>
                <w:sz w:val="21"/>
                <w:szCs w:val="21"/>
              </w:rPr>
            </w:pPr>
            <w:r w:rsidRPr="0075766B">
              <w:rPr>
                <w:b/>
                <w:sz w:val="21"/>
                <w:szCs w:val="21"/>
              </w:rPr>
              <w:t>Value</w:t>
            </w:r>
          </w:p>
        </w:tc>
        <w:tc>
          <w:tcPr>
            <w:tcW w:w="2181" w:type="dxa"/>
            <w:shd w:val="clear" w:color="auto" w:fill="D5E8F0"/>
          </w:tcPr>
          <w:p w14:paraId="2605D7F6" w14:textId="77777777" w:rsidR="00AA2148" w:rsidRPr="0075766B" w:rsidRDefault="00B771E4">
            <w:pPr>
              <w:rPr>
                <w:sz w:val="21"/>
                <w:szCs w:val="21"/>
              </w:rPr>
            </w:pPr>
            <w:r w:rsidRPr="0075766B">
              <w:rPr>
                <w:b/>
                <w:sz w:val="21"/>
                <w:szCs w:val="21"/>
              </w:rPr>
              <w:t>Source</w:t>
            </w:r>
          </w:p>
        </w:tc>
      </w:tr>
      <w:tr w:rsidR="00AA2148" w:rsidRPr="0075766B" w14:paraId="5EECD94C" w14:textId="77777777" w:rsidTr="00A93C26">
        <w:tc>
          <w:tcPr>
            <w:tcW w:w="2693" w:type="dxa"/>
          </w:tcPr>
          <w:p w14:paraId="6F4BDC2F" w14:textId="77777777" w:rsidR="00AA2148" w:rsidRPr="0075766B" w:rsidRDefault="00B771E4">
            <w:pPr>
              <w:rPr>
                <w:sz w:val="21"/>
                <w:szCs w:val="21"/>
              </w:rPr>
            </w:pPr>
            <w:r w:rsidRPr="0075766B">
              <w:rPr>
                <w:sz w:val="21"/>
                <w:szCs w:val="21"/>
              </w:rPr>
              <w:t>Period assessed</w:t>
            </w:r>
          </w:p>
        </w:tc>
        <w:tc>
          <w:tcPr>
            <w:tcW w:w="2693" w:type="dxa"/>
          </w:tcPr>
          <w:p w14:paraId="4C4AEA63" w14:textId="77777777" w:rsidR="00AA2148" w:rsidRPr="0075766B" w:rsidRDefault="00B771E4">
            <w:pPr>
              <w:rPr>
                <w:sz w:val="21"/>
                <w:szCs w:val="21"/>
              </w:rPr>
            </w:pPr>
            <w:r w:rsidRPr="0075766B">
              <w:rPr>
                <w:sz w:val="21"/>
                <w:szCs w:val="21"/>
              </w:rPr>
              <w:t>31 Dec 2024 - 7 Jan 2026</w:t>
            </w:r>
          </w:p>
        </w:tc>
        <w:tc>
          <w:tcPr>
            <w:tcW w:w="2181" w:type="dxa"/>
          </w:tcPr>
          <w:p w14:paraId="710EC6C8" w14:textId="77777777" w:rsidR="00AA2148" w:rsidRPr="0075766B" w:rsidRDefault="00B771E4">
            <w:pPr>
              <w:rPr>
                <w:sz w:val="21"/>
                <w:szCs w:val="21"/>
              </w:rPr>
            </w:pPr>
            <w:r w:rsidRPr="0075766B">
              <w:rPr>
                <w:sz w:val="21"/>
                <w:szCs w:val="21"/>
              </w:rPr>
              <w:t>373 days</w:t>
            </w:r>
          </w:p>
        </w:tc>
      </w:tr>
      <w:tr w:rsidR="00AA2148" w:rsidRPr="0075766B" w14:paraId="30FFA6ED" w14:textId="77777777" w:rsidTr="00A93C26">
        <w:tc>
          <w:tcPr>
            <w:tcW w:w="2693" w:type="dxa"/>
          </w:tcPr>
          <w:p w14:paraId="3F590F27" w14:textId="77777777" w:rsidR="00AA2148" w:rsidRPr="0075766B" w:rsidRDefault="00B771E4">
            <w:pPr>
              <w:rPr>
                <w:sz w:val="21"/>
                <w:szCs w:val="21"/>
              </w:rPr>
            </w:pPr>
            <w:r w:rsidRPr="0075766B">
              <w:rPr>
                <w:sz w:val="21"/>
                <w:szCs w:val="21"/>
              </w:rPr>
              <w:t>Planned outage notices</w:t>
            </w:r>
          </w:p>
        </w:tc>
        <w:tc>
          <w:tcPr>
            <w:tcW w:w="2693" w:type="dxa"/>
          </w:tcPr>
          <w:p w14:paraId="56A71D23" w14:textId="77777777" w:rsidR="00AA2148" w:rsidRPr="0075766B" w:rsidRDefault="00B771E4">
            <w:pPr>
              <w:rPr>
                <w:sz w:val="21"/>
                <w:szCs w:val="21"/>
              </w:rPr>
            </w:pPr>
            <w:r w:rsidRPr="0075766B">
              <w:rPr>
                <w:sz w:val="21"/>
                <w:szCs w:val="21"/>
              </w:rPr>
              <w:t>296</w:t>
            </w:r>
          </w:p>
        </w:tc>
        <w:tc>
          <w:tcPr>
            <w:tcW w:w="2181" w:type="dxa"/>
          </w:tcPr>
          <w:p w14:paraId="6415BCFA" w14:textId="77777777" w:rsidR="00AA2148" w:rsidRPr="0075766B" w:rsidRDefault="00B771E4">
            <w:pPr>
              <w:rPr>
                <w:sz w:val="21"/>
                <w:szCs w:val="21"/>
              </w:rPr>
            </w:pPr>
            <w:r w:rsidRPr="0075766B">
              <w:rPr>
                <w:sz w:val="21"/>
                <w:szCs w:val="21"/>
              </w:rPr>
              <w:t>EFL Facebook</w:t>
            </w:r>
          </w:p>
        </w:tc>
      </w:tr>
      <w:tr w:rsidR="00AA2148" w:rsidRPr="0075766B" w14:paraId="46BE7539" w14:textId="77777777" w:rsidTr="00A93C26">
        <w:tc>
          <w:tcPr>
            <w:tcW w:w="2693" w:type="dxa"/>
          </w:tcPr>
          <w:p w14:paraId="5AB39F59" w14:textId="77777777" w:rsidR="00AA2148" w:rsidRPr="0075766B" w:rsidRDefault="00B771E4">
            <w:pPr>
              <w:rPr>
                <w:sz w:val="21"/>
                <w:szCs w:val="21"/>
              </w:rPr>
            </w:pPr>
            <w:r w:rsidRPr="0075766B">
              <w:rPr>
                <w:sz w:val="21"/>
                <w:szCs w:val="21"/>
              </w:rPr>
              <w:t>Average per week</w:t>
            </w:r>
          </w:p>
        </w:tc>
        <w:tc>
          <w:tcPr>
            <w:tcW w:w="2693" w:type="dxa"/>
          </w:tcPr>
          <w:p w14:paraId="37F4FD96" w14:textId="77777777" w:rsidR="00AA2148" w:rsidRPr="0075766B" w:rsidRDefault="00B771E4">
            <w:pPr>
              <w:rPr>
                <w:sz w:val="21"/>
                <w:szCs w:val="21"/>
              </w:rPr>
            </w:pPr>
            <w:r w:rsidRPr="0075766B">
              <w:rPr>
                <w:sz w:val="21"/>
                <w:szCs w:val="21"/>
              </w:rPr>
              <w:t>5.6</w:t>
            </w:r>
          </w:p>
        </w:tc>
        <w:tc>
          <w:tcPr>
            <w:tcW w:w="2181" w:type="dxa"/>
          </w:tcPr>
          <w:p w14:paraId="4CB13EAE" w14:textId="77777777" w:rsidR="00AA2148" w:rsidRPr="0075766B" w:rsidRDefault="00B771E4">
            <w:pPr>
              <w:rPr>
                <w:sz w:val="21"/>
                <w:szCs w:val="21"/>
              </w:rPr>
            </w:pPr>
            <w:r w:rsidRPr="0075766B">
              <w:rPr>
                <w:sz w:val="21"/>
                <w:szCs w:val="21"/>
              </w:rPr>
              <w:t>Calculated</w:t>
            </w:r>
          </w:p>
        </w:tc>
      </w:tr>
      <w:tr w:rsidR="00AA2148" w:rsidRPr="0075766B" w14:paraId="6272DD03" w14:textId="77777777" w:rsidTr="00A93C26">
        <w:tc>
          <w:tcPr>
            <w:tcW w:w="2693" w:type="dxa"/>
          </w:tcPr>
          <w:p w14:paraId="13A3E7A6" w14:textId="77777777" w:rsidR="00AA2148" w:rsidRPr="0075766B" w:rsidRDefault="00B771E4">
            <w:pPr>
              <w:rPr>
                <w:sz w:val="21"/>
                <w:szCs w:val="21"/>
              </w:rPr>
            </w:pPr>
            <w:r w:rsidRPr="0075766B">
              <w:rPr>
                <w:sz w:val="21"/>
                <w:szCs w:val="21"/>
              </w:rPr>
              <w:t>Average per month</w:t>
            </w:r>
          </w:p>
        </w:tc>
        <w:tc>
          <w:tcPr>
            <w:tcW w:w="2693" w:type="dxa"/>
          </w:tcPr>
          <w:p w14:paraId="11FA79EA" w14:textId="77777777" w:rsidR="00AA2148" w:rsidRPr="0075766B" w:rsidRDefault="00B771E4">
            <w:pPr>
              <w:rPr>
                <w:sz w:val="21"/>
                <w:szCs w:val="21"/>
              </w:rPr>
            </w:pPr>
            <w:r w:rsidRPr="0075766B">
              <w:rPr>
                <w:sz w:val="21"/>
                <w:szCs w:val="21"/>
              </w:rPr>
              <w:t>24</w:t>
            </w:r>
          </w:p>
        </w:tc>
        <w:tc>
          <w:tcPr>
            <w:tcW w:w="2181" w:type="dxa"/>
          </w:tcPr>
          <w:p w14:paraId="5123B8BC" w14:textId="77777777" w:rsidR="00AA2148" w:rsidRPr="0075766B" w:rsidRDefault="00B771E4">
            <w:pPr>
              <w:rPr>
                <w:sz w:val="21"/>
                <w:szCs w:val="21"/>
              </w:rPr>
            </w:pPr>
            <w:r w:rsidRPr="0075766B">
              <w:rPr>
                <w:sz w:val="21"/>
                <w:szCs w:val="21"/>
              </w:rPr>
              <w:t>Calculated</w:t>
            </w:r>
          </w:p>
        </w:tc>
      </w:tr>
    </w:tbl>
    <w:p w14:paraId="6B959853" w14:textId="77777777" w:rsidR="00AA2148" w:rsidRDefault="00AA2148" w:rsidP="00A93C26">
      <w:pPr>
        <w:spacing w:after="0"/>
      </w:pPr>
    </w:p>
    <w:p w14:paraId="650198FE" w14:textId="77777777" w:rsidR="00AA2148" w:rsidRPr="0075766B" w:rsidRDefault="00B771E4" w:rsidP="00A93C26">
      <w:pPr>
        <w:jc w:val="both"/>
        <w:rPr>
          <w:sz w:val="23"/>
          <w:szCs w:val="23"/>
        </w:rPr>
      </w:pPr>
      <w:r w:rsidRPr="0075766B">
        <w:rPr>
          <w:sz w:val="23"/>
          <w:szCs w:val="23"/>
        </w:rPr>
        <w:t>Th</w:t>
      </w:r>
      <w:r w:rsidR="00A93C26" w:rsidRPr="0075766B">
        <w:rPr>
          <w:sz w:val="23"/>
          <w:szCs w:val="23"/>
        </w:rPr>
        <w:t xml:space="preserve">is frequency of planned outages - </w:t>
      </w:r>
      <w:r w:rsidRPr="0075766B">
        <w:rPr>
          <w:sz w:val="23"/>
          <w:szCs w:val="23"/>
        </w:rPr>
        <w:t>near</w:t>
      </w:r>
      <w:r w:rsidR="00A93C26" w:rsidRPr="0075766B">
        <w:rPr>
          <w:sz w:val="23"/>
          <w:szCs w:val="23"/>
        </w:rPr>
        <w:t xml:space="preserve">ly six per week - </w:t>
      </w:r>
      <w:r w:rsidRPr="0075766B">
        <w:rPr>
          <w:sz w:val="23"/>
          <w:szCs w:val="23"/>
        </w:rPr>
        <w:t xml:space="preserve">indicates ongoing network constraints that should concern consumers being asked to fund additional capital investment. If previous capital allowances did not resolve these constraints, what </w:t>
      </w:r>
      <w:r w:rsidRPr="0075766B">
        <w:rPr>
          <w:sz w:val="23"/>
          <w:szCs w:val="23"/>
        </w:rPr>
        <w:lastRenderedPageBreak/>
        <w:t>assurance exists that additional allowances will do so? Consumers experiencing this level of service disruption have legitimate questions about the effectiveness of prior investm</w:t>
      </w:r>
      <w:r w:rsidR="00A93C26" w:rsidRPr="0075766B">
        <w:rPr>
          <w:sz w:val="23"/>
          <w:szCs w:val="23"/>
        </w:rPr>
        <w:t xml:space="preserve">ent. Performance accountability - </w:t>
      </w:r>
      <w:r w:rsidRPr="0075766B">
        <w:rPr>
          <w:sz w:val="23"/>
          <w:szCs w:val="23"/>
        </w:rPr>
        <w:t>demonstrating that previous allowances delivered promised ou</w:t>
      </w:r>
      <w:r w:rsidR="00A93C26" w:rsidRPr="0075766B">
        <w:rPr>
          <w:sz w:val="23"/>
          <w:szCs w:val="23"/>
        </w:rPr>
        <w:t xml:space="preserve">tcomes before granting new ones - </w:t>
      </w:r>
      <w:r w:rsidRPr="0075766B">
        <w:rPr>
          <w:sz w:val="23"/>
          <w:szCs w:val="23"/>
        </w:rPr>
        <w:t>is a fundamental element of regulatory oversight.</w:t>
      </w:r>
    </w:p>
    <w:p w14:paraId="09573765" w14:textId="77777777" w:rsidR="00AA2148" w:rsidRPr="0075766B" w:rsidRDefault="00B771E4">
      <w:pPr>
        <w:pStyle w:val="Heading2"/>
        <w:rPr>
          <w:sz w:val="28"/>
        </w:rPr>
      </w:pPr>
      <w:r w:rsidRPr="0075766B">
        <w:rPr>
          <w:color w:val="000000"/>
          <w:sz w:val="28"/>
        </w:rPr>
        <w:t>7.2 Reliability Record: Unplanned Outages</w:t>
      </w:r>
    </w:p>
    <w:p w14:paraId="71F4DF7A" w14:textId="77777777" w:rsidR="00AA2148" w:rsidRPr="00CF1EA5" w:rsidRDefault="00B771E4" w:rsidP="00A93C26">
      <w:pPr>
        <w:jc w:val="both"/>
        <w:rPr>
          <w:sz w:val="23"/>
          <w:szCs w:val="23"/>
        </w:rPr>
      </w:pPr>
      <w:r w:rsidRPr="00CF1EA5">
        <w:rPr>
          <w:sz w:val="23"/>
          <w:szCs w:val="23"/>
        </w:rPr>
        <w:t xml:space="preserve">EFL's own published data reveals a pattern of ongoing reliability issues that raise questions about operational performance. Analysis of EFL's unplanned outages webpage (accessed </w:t>
      </w:r>
      <w:r w:rsidR="00910C64" w:rsidRPr="00CF1EA5">
        <w:rPr>
          <w:sz w:val="23"/>
          <w:szCs w:val="23"/>
        </w:rPr>
        <w:t>9</w:t>
      </w:r>
      <w:r w:rsidRPr="00CF1EA5">
        <w:rPr>
          <w:sz w:val="23"/>
          <w:szCs w:val="23"/>
        </w:rPr>
        <w:t xml:space="preserve"> January 2026) shows:</w:t>
      </w:r>
    </w:p>
    <w:p w14:paraId="5A2E3797" w14:textId="77777777" w:rsidR="00AA2148" w:rsidRPr="00CF1EA5" w:rsidRDefault="00B771E4" w:rsidP="00A93C26">
      <w:pPr>
        <w:pStyle w:val="ListBullet"/>
        <w:jc w:val="both"/>
        <w:rPr>
          <w:sz w:val="23"/>
          <w:szCs w:val="23"/>
        </w:rPr>
      </w:pPr>
      <w:r w:rsidRPr="00CF1EA5">
        <w:rPr>
          <w:sz w:val="23"/>
          <w:szCs w:val="23"/>
        </w:rPr>
        <w:t>89+ unplanned outages recorded over approximately 53 days (mid-November 2025 to January 2026)</w:t>
      </w:r>
    </w:p>
    <w:p w14:paraId="3A1787D4" w14:textId="77777777" w:rsidR="00AA2148" w:rsidRPr="00CF1EA5" w:rsidRDefault="00B771E4" w:rsidP="00A93C26">
      <w:pPr>
        <w:pStyle w:val="ListBullet"/>
        <w:jc w:val="both"/>
        <w:rPr>
          <w:sz w:val="23"/>
          <w:szCs w:val="23"/>
        </w:rPr>
      </w:pPr>
      <w:r w:rsidRPr="00CF1EA5">
        <w:rPr>
          <w:sz w:val="23"/>
          <w:szCs w:val="23"/>
        </w:rPr>
        <w:t xml:space="preserve">Average of approximately </w:t>
      </w:r>
      <w:r w:rsidRPr="00CF1EA5">
        <w:rPr>
          <w:b/>
          <w:sz w:val="23"/>
          <w:szCs w:val="23"/>
        </w:rPr>
        <w:t>1.7 unplanned outages per day</w:t>
      </w:r>
      <w:r w:rsidRPr="00CF1EA5">
        <w:rPr>
          <w:sz w:val="23"/>
          <w:szCs w:val="23"/>
        </w:rPr>
        <w:t xml:space="preserve"> across the network</w:t>
      </w:r>
    </w:p>
    <w:p w14:paraId="33C2A00A" w14:textId="77777777" w:rsidR="00AA2148" w:rsidRPr="00CF1EA5" w:rsidRDefault="00B771E4" w:rsidP="00A93C26">
      <w:pPr>
        <w:pStyle w:val="ListBullet"/>
        <w:jc w:val="both"/>
        <w:rPr>
          <w:sz w:val="23"/>
          <w:szCs w:val="23"/>
        </w:rPr>
      </w:pPr>
      <w:r w:rsidRPr="00CF1EA5">
        <w:rPr>
          <w:sz w:val="23"/>
          <w:szCs w:val="23"/>
        </w:rPr>
        <w:t>Many outages marked with 'No definite timeframe' for restoration</w:t>
      </w:r>
    </w:p>
    <w:p w14:paraId="4C82792C" w14:textId="77777777" w:rsidR="00AA2148" w:rsidRPr="00CF1EA5" w:rsidRDefault="00B771E4" w:rsidP="00A93C26">
      <w:pPr>
        <w:pStyle w:val="ListBullet"/>
        <w:jc w:val="both"/>
        <w:rPr>
          <w:sz w:val="23"/>
          <w:szCs w:val="23"/>
        </w:rPr>
      </w:pPr>
      <w:r w:rsidRPr="00CF1EA5">
        <w:rPr>
          <w:sz w:val="23"/>
          <w:szCs w:val="23"/>
        </w:rPr>
        <w:t>Causes include: undetermined faults, broken conductors/poles, faulty transformers, fallen trees, vehicle accidents, underground cable faults</w:t>
      </w:r>
    </w:p>
    <w:p w14:paraId="446F6925" w14:textId="77777777" w:rsidR="00AA2148" w:rsidRPr="00CF1EA5" w:rsidRDefault="00B771E4" w:rsidP="00A93C26">
      <w:pPr>
        <w:jc w:val="both"/>
        <w:rPr>
          <w:sz w:val="23"/>
          <w:szCs w:val="23"/>
        </w:rPr>
      </w:pPr>
      <w:r w:rsidRPr="00CF1EA5">
        <w:rPr>
          <w:sz w:val="23"/>
          <w:szCs w:val="23"/>
        </w:rPr>
        <w:t>This</w:t>
      </w:r>
      <w:r w:rsidR="00A93C26" w:rsidRPr="00CF1EA5">
        <w:rPr>
          <w:sz w:val="23"/>
          <w:szCs w:val="23"/>
        </w:rPr>
        <w:t xml:space="preserve"> frequency of unplanned outages - averaging nearly two per day - </w:t>
      </w:r>
      <w:r w:rsidRPr="00CF1EA5">
        <w:rPr>
          <w:sz w:val="23"/>
          <w:szCs w:val="23"/>
        </w:rPr>
        <w:t>raises questions about whether prior tariff allowances have been effectively deployed to improve reliability. Approving major tariff increases without reconciliation of prior performance creates a cycle of 'increase → under-delivery → further increase' that does not serve consumer interests.</w:t>
      </w:r>
    </w:p>
    <w:p w14:paraId="01219A52" w14:textId="77777777" w:rsidR="00AA2148" w:rsidRPr="00CF1EA5" w:rsidRDefault="00B771E4">
      <w:pPr>
        <w:pStyle w:val="Heading2"/>
        <w:rPr>
          <w:sz w:val="28"/>
        </w:rPr>
      </w:pPr>
      <w:r w:rsidRPr="00CF1EA5">
        <w:rPr>
          <w:color w:val="000000"/>
          <w:sz w:val="28"/>
        </w:rPr>
        <w:t>7.3 Performance Accountability Requirements</w:t>
      </w:r>
    </w:p>
    <w:p w14:paraId="0129E228" w14:textId="77777777" w:rsidR="00AA2148" w:rsidRPr="00CF1EA5" w:rsidRDefault="00B771E4" w:rsidP="00A93C26">
      <w:pPr>
        <w:jc w:val="both"/>
        <w:rPr>
          <w:sz w:val="23"/>
          <w:szCs w:val="23"/>
        </w:rPr>
      </w:pPr>
      <w:r w:rsidRPr="00CF1EA5">
        <w:rPr>
          <w:sz w:val="23"/>
          <w:szCs w:val="23"/>
        </w:rPr>
        <w:t>FCEF submits that before any tariff increase, FCCC should require:</w:t>
      </w:r>
    </w:p>
    <w:p w14:paraId="3ED5CC02" w14:textId="77777777" w:rsidR="00AA2148" w:rsidRPr="00CF1EA5" w:rsidRDefault="00B771E4" w:rsidP="00A93C26">
      <w:pPr>
        <w:pStyle w:val="ListBullet"/>
        <w:jc w:val="both"/>
        <w:rPr>
          <w:sz w:val="23"/>
          <w:szCs w:val="23"/>
        </w:rPr>
      </w:pPr>
      <w:r w:rsidRPr="00CF1EA5">
        <w:rPr>
          <w:sz w:val="23"/>
          <w:szCs w:val="23"/>
        </w:rPr>
        <w:t>Transparent reconciliation of prior allowances: what was promised versus what was delivered</w:t>
      </w:r>
    </w:p>
    <w:p w14:paraId="2B0045E6" w14:textId="77777777" w:rsidR="00AA2148" w:rsidRPr="00CF1EA5" w:rsidRDefault="00B771E4" w:rsidP="00A93C26">
      <w:pPr>
        <w:pStyle w:val="ListBullet"/>
        <w:jc w:val="both"/>
        <w:rPr>
          <w:sz w:val="23"/>
          <w:szCs w:val="23"/>
        </w:rPr>
      </w:pPr>
      <w:r w:rsidRPr="00CF1EA5">
        <w:rPr>
          <w:sz w:val="23"/>
          <w:szCs w:val="23"/>
        </w:rPr>
        <w:t>Project and reliability milestones with time-bound deliverables</w:t>
      </w:r>
    </w:p>
    <w:p w14:paraId="448659A1" w14:textId="77777777" w:rsidR="00AA2148" w:rsidRPr="00CF1EA5" w:rsidRDefault="00B771E4" w:rsidP="00A93C26">
      <w:pPr>
        <w:pStyle w:val="ListBullet"/>
        <w:jc w:val="both"/>
        <w:rPr>
          <w:sz w:val="23"/>
          <w:szCs w:val="23"/>
        </w:rPr>
      </w:pPr>
      <w:r w:rsidRPr="00CF1EA5">
        <w:rPr>
          <w:sz w:val="23"/>
          <w:szCs w:val="23"/>
        </w:rPr>
        <w:t>Independent audits and published progress reporting</w:t>
      </w:r>
    </w:p>
    <w:p w14:paraId="71293D7E" w14:textId="77777777" w:rsidR="00044479" w:rsidRDefault="00B771E4" w:rsidP="00CF1EA5">
      <w:pPr>
        <w:pStyle w:val="ListBullet"/>
        <w:jc w:val="both"/>
        <w:rPr>
          <w:sz w:val="23"/>
          <w:szCs w:val="23"/>
        </w:rPr>
      </w:pPr>
      <w:r w:rsidRPr="00CF1EA5">
        <w:rPr>
          <w:sz w:val="23"/>
          <w:szCs w:val="23"/>
        </w:rPr>
        <w:t xml:space="preserve">Tariff </w:t>
      </w:r>
      <w:proofErr w:type="spellStart"/>
      <w:r w:rsidRPr="00CF1EA5">
        <w:rPr>
          <w:sz w:val="23"/>
          <w:szCs w:val="23"/>
        </w:rPr>
        <w:t>clawback</w:t>
      </w:r>
      <w:proofErr w:type="spellEnd"/>
      <w:r w:rsidRPr="00CF1EA5">
        <w:rPr>
          <w:sz w:val="23"/>
          <w:szCs w:val="23"/>
        </w:rPr>
        <w:t xml:space="preserve"> or revenue adjustment mechanisms for under-delivery</w:t>
      </w:r>
    </w:p>
    <w:p w14:paraId="5628F9F7" w14:textId="77777777" w:rsidR="00CF1EA5" w:rsidRPr="00CF1EA5" w:rsidRDefault="00CF1EA5" w:rsidP="00CF1EA5">
      <w:pPr>
        <w:pStyle w:val="ListBullet"/>
        <w:numPr>
          <w:ilvl w:val="0"/>
          <w:numId w:val="0"/>
        </w:numPr>
        <w:jc w:val="both"/>
        <w:rPr>
          <w:sz w:val="20"/>
          <w:szCs w:val="23"/>
        </w:rPr>
      </w:pPr>
    </w:p>
    <w:p w14:paraId="7D0A67D9" w14:textId="77777777" w:rsidR="007B5272" w:rsidRPr="00CF1EA5" w:rsidRDefault="007B5272" w:rsidP="00CF1EA5">
      <w:pPr>
        <w:pStyle w:val="ListBullet"/>
        <w:numPr>
          <w:ilvl w:val="0"/>
          <w:numId w:val="0"/>
        </w:numPr>
        <w:spacing w:before="240"/>
        <w:ind w:left="360" w:hanging="360"/>
        <w:rPr>
          <w:rFonts w:asciiTheme="majorHAnsi" w:hAnsiTheme="majorHAnsi" w:cstheme="majorHAnsi"/>
          <w:b/>
          <w:sz w:val="28"/>
          <w:szCs w:val="26"/>
        </w:rPr>
      </w:pPr>
      <w:r w:rsidRPr="00CF1EA5">
        <w:rPr>
          <w:rFonts w:asciiTheme="majorHAnsi" w:hAnsiTheme="majorHAnsi" w:cstheme="majorHAnsi"/>
          <w:b/>
          <w:sz w:val="28"/>
          <w:szCs w:val="26"/>
        </w:rPr>
        <w:t xml:space="preserve">7.4 Capital </w:t>
      </w:r>
      <w:r w:rsidRPr="00CF1EA5">
        <w:rPr>
          <w:rFonts w:asciiTheme="majorHAnsi" w:hAnsiTheme="majorHAnsi" w:cstheme="majorHAnsi"/>
          <w:b/>
          <w:sz w:val="28"/>
          <w:szCs w:val="26"/>
          <w:lang w:val="en-GB"/>
        </w:rPr>
        <w:t>Expenditure</w:t>
      </w:r>
      <w:r w:rsidRPr="00CF1EA5">
        <w:rPr>
          <w:rFonts w:asciiTheme="majorHAnsi" w:hAnsiTheme="majorHAnsi" w:cstheme="majorHAnsi"/>
          <w:b/>
          <w:sz w:val="28"/>
          <w:szCs w:val="26"/>
        </w:rPr>
        <w:t xml:space="preserve"> Underspending </w:t>
      </w:r>
    </w:p>
    <w:p w14:paraId="133ED7FC" w14:textId="77777777" w:rsidR="007B5272" w:rsidRPr="00CF1EA5" w:rsidRDefault="007B5272" w:rsidP="00A93C26">
      <w:pPr>
        <w:pStyle w:val="ListBullet"/>
        <w:numPr>
          <w:ilvl w:val="0"/>
          <w:numId w:val="0"/>
        </w:numPr>
        <w:jc w:val="both"/>
        <w:rPr>
          <w:sz w:val="23"/>
          <w:szCs w:val="23"/>
        </w:rPr>
      </w:pPr>
      <w:r w:rsidRPr="00CF1EA5">
        <w:rPr>
          <w:sz w:val="23"/>
          <w:szCs w:val="23"/>
        </w:rPr>
        <w:t>EFL’s tariffs are based on a Regulated Asset Base (RAB) model, which allows for a fair return on planned investment. Consistent underspending against approved capital budgets raises further questions about the execution of prior allowances:</w:t>
      </w:r>
    </w:p>
    <w:p w14:paraId="6CF0A49A" w14:textId="77777777" w:rsidR="007B5272" w:rsidRPr="004D09B4" w:rsidRDefault="007B5272" w:rsidP="00A93C26">
      <w:pPr>
        <w:pStyle w:val="ListBullet"/>
        <w:numPr>
          <w:ilvl w:val="0"/>
          <w:numId w:val="0"/>
        </w:numPr>
        <w:ind w:left="360" w:hanging="360"/>
        <w:jc w:val="both"/>
        <w:rPr>
          <w:sz w:val="16"/>
        </w:rPr>
      </w:pPr>
    </w:p>
    <w:p w14:paraId="66E7A1C7" w14:textId="77777777" w:rsidR="007B5272" w:rsidRPr="00CF1EA5" w:rsidRDefault="007B5272" w:rsidP="00A93C26">
      <w:pPr>
        <w:pStyle w:val="ListBullet"/>
        <w:numPr>
          <w:ilvl w:val="0"/>
          <w:numId w:val="10"/>
        </w:numPr>
        <w:jc w:val="both"/>
        <w:rPr>
          <w:sz w:val="23"/>
          <w:szCs w:val="23"/>
        </w:rPr>
      </w:pPr>
      <w:r w:rsidRPr="00CF1EA5">
        <w:rPr>
          <w:sz w:val="23"/>
          <w:szCs w:val="23"/>
        </w:rPr>
        <w:t>In 2022, EFL’s Board approved a capital expenditure budget of $145.83 million, but only $52.91 million was spent.</w:t>
      </w:r>
    </w:p>
    <w:p w14:paraId="5F36369E" w14:textId="77777777" w:rsidR="007B5272" w:rsidRPr="00CF1EA5" w:rsidRDefault="007B5272" w:rsidP="00A93C26">
      <w:pPr>
        <w:pStyle w:val="ListBullet"/>
        <w:numPr>
          <w:ilvl w:val="0"/>
          <w:numId w:val="10"/>
        </w:numPr>
        <w:jc w:val="both"/>
        <w:rPr>
          <w:sz w:val="23"/>
          <w:szCs w:val="23"/>
        </w:rPr>
      </w:pPr>
      <w:r w:rsidRPr="00CF1EA5">
        <w:rPr>
          <w:sz w:val="23"/>
          <w:szCs w:val="23"/>
        </w:rPr>
        <w:t>In 2024, EFL spent $172 million against a budgeted $234 million.</w:t>
      </w:r>
    </w:p>
    <w:p w14:paraId="3DDA37BF" w14:textId="77777777" w:rsidR="007B5272" w:rsidRPr="00044479" w:rsidRDefault="007B5272" w:rsidP="00A93C26">
      <w:pPr>
        <w:pStyle w:val="ListBullet"/>
        <w:numPr>
          <w:ilvl w:val="0"/>
          <w:numId w:val="0"/>
        </w:numPr>
        <w:ind w:left="360"/>
        <w:jc w:val="both"/>
        <w:rPr>
          <w:sz w:val="16"/>
        </w:rPr>
      </w:pPr>
    </w:p>
    <w:p w14:paraId="779966E3" w14:textId="77777777" w:rsidR="007B5272" w:rsidRPr="00CF1EA5" w:rsidRDefault="007B5272" w:rsidP="00A93C26">
      <w:pPr>
        <w:pStyle w:val="ListBullet"/>
        <w:numPr>
          <w:ilvl w:val="0"/>
          <w:numId w:val="0"/>
        </w:numPr>
        <w:ind w:firstLine="14"/>
        <w:jc w:val="both"/>
        <w:rPr>
          <w:sz w:val="23"/>
          <w:szCs w:val="23"/>
        </w:rPr>
      </w:pPr>
      <w:r w:rsidRPr="00CF1EA5">
        <w:rPr>
          <w:sz w:val="23"/>
          <w:szCs w:val="23"/>
        </w:rPr>
        <w:t>Under the tariff methodology, underspending against appr</w:t>
      </w:r>
      <w:r w:rsidR="004D09B4" w:rsidRPr="00CF1EA5">
        <w:rPr>
          <w:sz w:val="23"/>
          <w:szCs w:val="23"/>
        </w:rPr>
        <w:t xml:space="preserve">oved capital expenditure should </w:t>
      </w:r>
      <w:r w:rsidRPr="00CF1EA5">
        <w:rPr>
          <w:sz w:val="23"/>
          <w:szCs w:val="23"/>
        </w:rPr>
        <w:t xml:space="preserve">result in a </w:t>
      </w:r>
      <w:r w:rsidRPr="00CF1EA5">
        <w:rPr>
          <w:b/>
          <w:sz w:val="23"/>
          <w:szCs w:val="23"/>
        </w:rPr>
        <w:t>downward adjustment</w:t>
      </w:r>
      <w:r w:rsidRPr="00CF1EA5">
        <w:rPr>
          <w:sz w:val="23"/>
          <w:szCs w:val="23"/>
        </w:rPr>
        <w:t xml:space="preserve"> to tariffs. The Commission has not explained why a massive revenue increase is being granted when EFL has consistently failed to </w:t>
      </w:r>
      <w:r w:rsidRPr="00CF1EA5">
        <w:rPr>
          <w:sz w:val="23"/>
          <w:szCs w:val="23"/>
        </w:rPr>
        <w:lastRenderedPageBreak/>
        <w:t>spend the capital allowances already provided through previous tariff determinations, including the 2019 increase.</w:t>
      </w:r>
    </w:p>
    <w:tbl>
      <w:tblPr>
        <w:tblW w:w="0" w:type="auto"/>
        <w:jc w:val="center"/>
        <w:tblLook w:val="04A0" w:firstRow="1" w:lastRow="0" w:firstColumn="1" w:lastColumn="0" w:noHBand="0" w:noVBand="1"/>
      </w:tblPr>
      <w:tblGrid>
        <w:gridCol w:w="8640"/>
      </w:tblGrid>
      <w:tr w:rsidR="00AA2148" w14:paraId="3A7E5FDA" w14:textId="77777777">
        <w:trPr>
          <w:jc w:val="center"/>
        </w:trPr>
        <w:tc>
          <w:tcPr>
            <w:tcW w:w="8640" w:type="dxa"/>
            <w:shd w:val="clear" w:color="auto" w:fill="E8F4F8"/>
          </w:tcPr>
          <w:p w14:paraId="530CFDC3" w14:textId="77777777" w:rsidR="00AA2148" w:rsidRPr="00CF1EA5" w:rsidRDefault="00B771E4">
            <w:pPr>
              <w:rPr>
                <w:sz w:val="23"/>
                <w:szCs w:val="23"/>
              </w:rPr>
            </w:pPr>
            <w:r w:rsidRPr="00CF1EA5">
              <w:rPr>
                <w:b/>
                <w:sz w:val="23"/>
                <w:szCs w:val="23"/>
              </w:rPr>
              <w:t>Key Points – Section 7:</w:t>
            </w:r>
          </w:p>
          <w:p w14:paraId="346FFFE0" w14:textId="77777777" w:rsidR="00AA2148" w:rsidRPr="00CF1EA5" w:rsidRDefault="00B771E4" w:rsidP="00066304">
            <w:pPr>
              <w:pStyle w:val="ListBullet"/>
              <w:spacing w:line="300" w:lineRule="auto"/>
              <w:ind w:left="357" w:hanging="357"/>
              <w:jc w:val="both"/>
              <w:rPr>
                <w:sz w:val="21"/>
                <w:szCs w:val="21"/>
              </w:rPr>
            </w:pPr>
            <w:r w:rsidRPr="00CF1EA5">
              <w:rPr>
                <w:sz w:val="21"/>
                <w:szCs w:val="21"/>
              </w:rPr>
              <w:t>EFL recorded 296 planned outages over 373 days (Dec 2024-Jan 2026)</w:t>
            </w:r>
            <w:r w:rsidR="00A93C26" w:rsidRPr="00CF1EA5">
              <w:rPr>
                <w:sz w:val="21"/>
                <w:szCs w:val="21"/>
              </w:rPr>
              <w:t xml:space="preserve"> - </w:t>
            </w:r>
            <w:r w:rsidRPr="00CF1EA5">
              <w:rPr>
                <w:sz w:val="21"/>
                <w:szCs w:val="21"/>
              </w:rPr>
              <w:t>averaging 5.6 outages per week</w:t>
            </w:r>
            <w:r w:rsidR="00A93C26" w:rsidRPr="00CF1EA5">
              <w:rPr>
                <w:sz w:val="21"/>
                <w:szCs w:val="21"/>
              </w:rPr>
              <w:t xml:space="preserve"> - </w:t>
            </w:r>
            <w:r w:rsidRPr="00CF1EA5">
              <w:rPr>
                <w:sz w:val="21"/>
                <w:szCs w:val="21"/>
              </w:rPr>
              <w:t>indicating ongoing network constraints.</w:t>
            </w:r>
          </w:p>
          <w:p w14:paraId="47B80CA4" w14:textId="77777777" w:rsidR="00AA2148" w:rsidRPr="00CF1EA5" w:rsidRDefault="00B771E4" w:rsidP="00066304">
            <w:pPr>
              <w:pStyle w:val="ListBullet"/>
              <w:spacing w:line="300" w:lineRule="auto"/>
              <w:ind w:left="357" w:hanging="357"/>
              <w:jc w:val="both"/>
              <w:rPr>
                <w:sz w:val="21"/>
                <w:szCs w:val="21"/>
              </w:rPr>
            </w:pPr>
            <w:r w:rsidRPr="00CF1EA5">
              <w:rPr>
                <w:sz w:val="21"/>
                <w:szCs w:val="21"/>
              </w:rPr>
              <w:t>EFL recorded 89+ unplanned outages over ~53 days (Nov 2025-Jan 2026)</w:t>
            </w:r>
            <w:r w:rsidR="00A93C26" w:rsidRPr="00CF1EA5">
              <w:rPr>
                <w:sz w:val="21"/>
                <w:szCs w:val="21"/>
              </w:rPr>
              <w:t xml:space="preserve"> - </w:t>
            </w:r>
            <w:r w:rsidRPr="00CF1EA5">
              <w:rPr>
                <w:sz w:val="21"/>
                <w:szCs w:val="21"/>
              </w:rPr>
              <w:t>averaging 1.7 outages per day with many having 'no definite timeframe' for restoration.</w:t>
            </w:r>
          </w:p>
          <w:p w14:paraId="7AC9C85D" w14:textId="77777777" w:rsidR="004D09B4" w:rsidRPr="00CF1EA5" w:rsidRDefault="00B771E4" w:rsidP="00066304">
            <w:pPr>
              <w:pStyle w:val="ListBullet"/>
              <w:spacing w:line="300" w:lineRule="auto"/>
              <w:ind w:left="357" w:hanging="357"/>
              <w:jc w:val="both"/>
              <w:rPr>
                <w:sz w:val="21"/>
                <w:szCs w:val="21"/>
              </w:rPr>
            </w:pPr>
            <w:r w:rsidRPr="00CF1EA5">
              <w:rPr>
                <w:sz w:val="21"/>
                <w:szCs w:val="21"/>
              </w:rPr>
              <w:t>The 2019 tariff increase was awarded for similar objectives but EFL did not meet expected targets</w:t>
            </w:r>
            <w:r w:rsidR="00A93C26" w:rsidRPr="00CF1EA5">
              <w:rPr>
                <w:sz w:val="21"/>
                <w:szCs w:val="21"/>
              </w:rPr>
              <w:t xml:space="preserve"> - </w:t>
            </w:r>
            <w:r w:rsidRPr="00CF1EA5">
              <w:rPr>
                <w:sz w:val="21"/>
                <w:szCs w:val="21"/>
              </w:rPr>
              <w:t>no reconciliation has been provided.</w:t>
            </w:r>
          </w:p>
          <w:p w14:paraId="2A18A15B" w14:textId="77777777" w:rsidR="004D09B4" w:rsidRPr="00CF1EA5" w:rsidRDefault="004D09B4" w:rsidP="00066304">
            <w:pPr>
              <w:pStyle w:val="ListBullet"/>
              <w:spacing w:line="300" w:lineRule="auto"/>
              <w:ind w:left="357" w:hanging="357"/>
              <w:jc w:val="both"/>
              <w:rPr>
                <w:sz w:val="21"/>
                <w:szCs w:val="21"/>
              </w:rPr>
            </w:pPr>
            <w:r w:rsidRPr="00CF1EA5">
              <w:rPr>
                <w:rFonts w:cs="Arial"/>
                <w:sz w:val="21"/>
                <w:szCs w:val="21"/>
              </w:rPr>
              <w:t>EFL consistently underspent approved capital budgets ($52.91M spent vs $145.83M budgeted in 2022; $172M spent vs $234M budgeted in 2024)</w:t>
            </w:r>
            <w:r w:rsidR="00A93C26" w:rsidRPr="00CF1EA5">
              <w:rPr>
                <w:rFonts w:cs="Arial"/>
                <w:sz w:val="21"/>
                <w:szCs w:val="21"/>
              </w:rPr>
              <w:t xml:space="preserve"> - </w:t>
            </w:r>
            <w:r w:rsidRPr="00CF1EA5">
              <w:rPr>
                <w:rFonts w:cs="Arial"/>
                <w:b/>
                <w:sz w:val="21"/>
                <w:szCs w:val="21"/>
              </w:rPr>
              <w:t>underspending that should trigger downward tariff adjustments under the methodology.</w:t>
            </w:r>
          </w:p>
          <w:p w14:paraId="0DF2E66B" w14:textId="77777777" w:rsidR="00AA2148" w:rsidRDefault="00B771E4" w:rsidP="00066304">
            <w:pPr>
              <w:pStyle w:val="ListBullet"/>
              <w:spacing w:line="300" w:lineRule="auto"/>
              <w:ind w:left="357" w:hanging="357"/>
              <w:jc w:val="both"/>
            </w:pPr>
            <w:r w:rsidRPr="00CF1EA5">
              <w:rPr>
                <w:sz w:val="21"/>
                <w:szCs w:val="21"/>
              </w:rPr>
              <w:t xml:space="preserve">Without enforceable accountability mechanisms, FCCC risks repeating a cycle of 'increase </w:t>
            </w:r>
            <w:r w:rsidRPr="00CF1EA5">
              <w:rPr>
                <w:sz w:val="24"/>
                <w:szCs w:val="21"/>
              </w:rPr>
              <w:t xml:space="preserve">→ </w:t>
            </w:r>
            <w:r w:rsidRPr="00CF1EA5">
              <w:rPr>
                <w:sz w:val="21"/>
                <w:szCs w:val="21"/>
              </w:rPr>
              <w:t xml:space="preserve">under-delivery </w:t>
            </w:r>
            <w:r w:rsidRPr="00CF1EA5">
              <w:rPr>
                <w:sz w:val="24"/>
                <w:szCs w:val="21"/>
              </w:rPr>
              <w:t xml:space="preserve">→ </w:t>
            </w:r>
            <w:r w:rsidRPr="00CF1EA5">
              <w:rPr>
                <w:sz w:val="21"/>
                <w:szCs w:val="21"/>
              </w:rPr>
              <w:t>further increase.'</w:t>
            </w:r>
          </w:p>
        </w:tc>
      </w:tr>
    </w:tbl>
    <w:p w14:paraId="1D3004E4" w14:textId="5CC020AA" w:rsidR="00AA2148" w:rsidRPr="00CF1EA5" w:rsidRDefault="00B771E4">
      <w:pPr>
        <w:pStyle w:val="Heading1"/>
        <w:rPr>
          <w:sz w:val="32"/>
        </w:rPr>
      </w:pPr>
      <w:r w:rsidRPr="00CF1EA5">
        <w:rPr>
          <w:color w:val="000000"/>
          <w:sz w:val="32"/>
        </w:rPr>
        <w:t xml:space="preserve">8. FORMAL </w:t>
      </w:r>
      <w:r w:rsidR="00B11712">
        <w:rPr>
          <w:color w:val="000000"/>
          <w:sz w:val="32"/>
        </w:rPr>
        <w:t xml:space="preserve">RECOMMENDATION </w:t>
      </w:r>
    </w:p>
    <w:p w14:paraId="5638585F" w14:textId="32E15C00" w:rsidR="00AA2148" w:rsidRDefault="00B771E4" w:rsidP="00A93C26">
      <w:pPr>
        <w:jc w:val="both"/>
        <w:rPr>
          <w:sz w:val="23"/>
          <w:szCs w:val="23"/>
        </w:rPr>
      </w:pPr>
      <w:r w:rsidRPr="00CF1EA5">
        <w:rPr>
          <w:sz w:val="23"/>
          <w:szCs w:val="23"/>
        </w:rPr>
        <w:t xml:space="preserve">For the reasons set out in this submission, FCEF </w:t>
      </w:r>
      <w:r w:rsidR="00B11712">
        <w:rPr>
          <w:sz w:val="23"/>
          <w:szCs w:val="23"/>
        </w:rPr>
        <w:t>strongly recommends that:</w:t>
      </w:r>
    </w:p>
    <w:p w14:paraId="1F2B3ED2" w14:textId="77777777" w:rsidR="00B11712" w:rsidRDefault="00B11712" w:rsidP="00B11712">
      <w:pPr>
        <w:jc w:val="both"/>
        <w:rPr>
          <w:rFonts w:ascii="Aptos" w:hAnsi="Aptos"/>
          <w:sz w:val="28"/>
          <w:szCs w:val="28"/>
        </w:rPr>
      </w:pPr>
    </w:p>
    <w:p w14:paraId="5915C1F3" w14:textId="77777777" w:rsidR="00B11712" w:rsidRPr="00B11712" w:rsidRDefault="00B11712" w:rsidP="00B11712">
      <w:pPr>
        <w:pStyle w:val="ListParagraph"/>
        <w:numPr>
          <w:ilvl w:val="1"/>
          <w:numId w:val="10"/>
        </w:numPr>
        <w:tabs>
          <w:tab w:val="clear" w:pos="1440"/>
        </w:tabs>
        <w:jc w:val="both"/>
        <w:rPr>
          <w:rFonts w:ascii="Aptos" w:hAnsi="Aptos"/>
          <w:sz w:val="24"/>
          <w:szCs w:val="24"/>
        </w:rPr>
      </w:pPr>
      <w:r w:rsidRPr="00B11712">
        <w:rPr>
          <w:rFonts w:ascii="Aptos" w:hAnsi="Aptos"/>
          <w:sz w:val="24"/>
          <w:szCs w:val="24"/>
        </w:rPr>
        <w:t xml:space="preserve">FCCC </w:t>
      </w:r>
      <w:r w:rsidRPr="00B11712">
        <w:rPr>
          <w:rFonts w:ascii="Aptos" w:hAnsi="Aptos"/>
          <w:bCs/>
          <w:sz w:val="24"/>
          <w:szCs w:val="24"/>
        </w:rPr>
        <w:t>s</w:t>
      </w:r>
      <w:r w:rsidRPr="00B11712">
        <w:rPr>
          <w:rFonts w:ascii="Aptos" w:hAnsi="Aptos"/>
          <w:sz w:val="24"/>
          <w:szCs w:val="24"/>
        </w:rPr>
        <w:t>et aside the determination of 19 December 2025 in its entirety/decline EFL’s May 2023 submission.</w:t>
      </w:r>
    </w:p>
    <w:p w14:paraId="32BE61F1" w14:textId="77777777" w:rsidR="00B11712" w:rsidRPr="00B11712" w:rsidRDefault="00B11712" w:rsidP="00B11712">
      <w:pPr>
        <w:pStyle w:val="ListParagraph"/>
        <w:ind w:left="1440"/>
        <w:jc w:val="both"/>
        <w:rPr>
          <w:rFonts w:ascii="Aptos" w:hAnsi="Aptos"/>
          <w:sz w:val="24"/>
          <w:szCs w:val="24"/>
        </w:rPr>
      </w:pPr>
    </w:p>
    <w:p w14:paraId="4CC02C26" w14:textId="77777777" w:rsidR="00B11712" w:rsidRPr="00B11712" w:rsidRDefault="00B11712" w:rsidP="00B11712">
      <w:pPr>
        <w:pStyle w:val="ListParagraph"/>
        <w:numPr>
          <w:ilvl w:val="1"/>
          <w:numId w:val="10"/>
        </w:numPr>
        <w:tabs>
          <w:tab w:val="clear" w:pos="1440"/>
        </w:tabs>
        <w:jc w:val="both"/>
        <w:rPr>
          <w:rFonts w:ascii="Aptos" w:hAnsi="Aptos"/>
          <w:sz w:val="24"/>
          <w:szCs w:val="24"/>
        </w:rPr>
      </w:pPr>
      <w:r w:rsidRPr="00B11712">
        <w:rPr>
          <w:rFonts w:ascii="Aptos" w:hAnsi="Aptos"/>
          <w:sz w:val="24"/>
          <w:szCs w:val="24"/>
        </w:rPr>
        <w:t>EFL be provided with an opportunity to make a new submission, ensuring that the specific issues highlighted in this submission is addressed, including full disclosures. Based on this new submission, FCCC institutes a fresh process that involves meaningful and genuine consultation and makes its independent determination.</w:t>
      </w:r>
    </w:p>
    <w:p w14:paraId="312BE159" w14:textId="77777777" w:rsidR="00F37A77" w:rsidRDefault="00F37A77" w:rsidP="00044479">
      <w:pPr>
        <w:jc w:val="both"/>
      </w:pPr>
    </w:p>
    <w:p w14:paraId="7B70D09F" w14:textId="77777777" w:rsidR="007B08CE" w:rsidRDefault="007B08CE" w:rsidP="00044479">
      <w:pPr>
        <w:jc w:val="both"/>
      </w:pPr>
    </w:p>
    <w:p w14:paraId="6548D7E7" w14:textId="77777777" w:rsidR="00B11712" w:rsidRDefault="00B11712" w:rsidP="00044479">
      <w:pPr>
        <w:jc w:val="both"/>
      </w:pPr>
    </w:p>
    <w:p w14:paraId="412E1DE9" w14:textId="77777777" w:rsidR="00B11712" w:rsidRDefault="00B11712" w:rsidP="00044479">
      <w:pPr>
        <w:jc w:val="both"/>
      </w:pPr>
    </w:p>
    <w:p w14:paraId="6DB98505" w14:textId="77777777" w:rsidR="00B11712" w:rsidRDefault="00B11712" w:rsidP="00044479">
      <w:pPr>
        <w:jc w:val="both"/>
      </w:pPr>
    </w:p>
    <w:p w14:paraId="4EE8C6B5" w14:textId="77777777" w:rsidR="00B11712" w:rsidRDefault="00B11712" w:rsidP="00044479">
      <w:pPr>
        <w:jc w:val="both"/>
      </w:pPr>
    </w:p>
    <w:p w14:paraId="320053EE" w14:textId="77777777" w:rsidR="00AA2148" w:rsidRPr="00CF1EA5" w:rsidRDefault="00B771E4">
      <w:pPr>
        <w:pStyle w:val="Heading1"/>
        <w:rPr>
          <w:sz w:val="32"/>
        </w:rPr>
      </w:pPr>
      <w:r w:rsidRPr="00CF1EA5">
        <w:rPr>
          <w:color w:val="000000"/>
          <w:sz w:val="32"/>
        </w:rPr>
        <w:lastRenderedPageBreak/>
        <w:t>ANNEX A: DATA SOURCES</w:t>
      </w:r>
    </w:p>
    <w:p w14:paraId="51A0A827" w14:textId="77777777" w:rsidR="00CF1EA5" w:rsidRDefault="00CF1EA5" w:rsidP="00CF1EA5">
      <w:pPr>
        <w:spacing w:after="0"/>
        <w:rPr>
          <w:sz w:val="23"/>
          <w:szCs w:val="23"/>
        </w:rPr>
      </w:pPr>
    </w:p>
    <w:p w14:paraId="1B5FC014" w14:textId="77777777" w:rsidR="00F91807" w:rsidRPr="00CF1EA5" w:rsidRDefault="00F91807" w:rsidP="00F91807">
      <w:pPr>
        <w:rPr>
          <w:sz w:val="23"/>
          <w:szCs w:val="23"/>
        </w:rPr>
      </w:pPr>
      <w:r w:rsidRPr="00CF1EA5">
        <w:rPr>
          <w:sz w:val="23"/>
          <w:szCs w:val="23"/>
        </w:rPr>
        <w:t>This submission draws on the following publicly available sources:</w:t>
      </w:r>
    </w:p>
    <w:p w14:paraId="435885EC" w14:textId="77777777" w:rsidR="00F91807" w:rsidRPr="00CF1EA5" w:rsidRDefault="00F91807" w:rsidP="00F91807">
      <w:pPr>
        <w:numPr>
          <w:ilvl w:val="0"/>
          <w:numId w:val="15"/>
        </w:numPr>
        <w:spacing w:after="0"/>
        <w:rPr>
          <w:sz w:val="23"/>
          <w:szCs w:val="23"/>
        </w:rPr>
      </w:pPr>
      <w:r w:rsidRPr="00CF1EA5">
        <w:rPr>
          <w:sz w:val="23"/>
          <w:szCs w:val="23"/>
        </w:rPr>
        <w:t>EFL Annual Reports 2015–2024</w:t>
      </w:r>
    </w:p>
    <w:p w14:paraId="36169397" w14:textId="77777777" w:rsidR="00F91807" w:rsidRPr="00CF1EA5" w:rsidRDefault="00F91807" w:rsidP="00F91807">
      <w:pPr>
        <w:numPr>
          <w:ilvl w:val="0"/>
          <w:numId w:val="15"/>
        </w:numPr>
        <w:spacing w:after="0"/>
        <w:rPr>
          <w:sz w:val="23"/>
          <w:szCs w:val="23"/>
        </w:rPr>
      </w:pPr>
      <w:r w:rsidRPr="00CF1EA5">
        <w:rPr>
          <w:sz w:val="23"/>
          <w:szCs w:val="23"/>
        </w:rPr>
        <w:t>FCCC Media Release: 'FCCC Announces New Electricity Tariffs' (19 December 2025)</w:t>
      </w:r>
    </w:p>
    <w:p w14:paraId="1B28CE11" w14:textId="77777777" w:rsidR="00F91807" w:rsidRPr="00CF1EA5" w:rsidRDefault="00F91807" w:rsidP="00F91807">
      <w:pPr>
        <w:numPr>
          <w:ilvl w:val="0"/>
          <w:numId w:val="15"/>
        </w:numPr>
        <w:spacing w:after="0"/>
        <w:rPr>
          <w:sz w:val="23"/>
          <w:szCs w:val="23"/>
        </w:rPr>
      </w:pPr>
      <w:r w:rsidRPr="00CF1EA5">
        <w:rPr>
          <w:sz w:val="23"/>
          <w:szCs w:val="23"/>
        </w:rPr>
        <w:t>EFL Media Statements (January 2026)</w:t>
      </w:r>
    </w:p>
    <w:p w14:paraId="07761D39" w14:textId="77777777" w:rsidR="00F91807" w:rsidRPr="00CF1EA5" w:rsidRDefault="00F91807" w:rsidP="00F91807">
      <w:pPr>
        <w:numPr>
          <w:ilvl w:val="0"/>
          <w:numId w:val="15"/>
        </w:numPr>
        <w:spacing w:after="0"/>
        <w:rPr>
          <w:sz w:val="23"/>
          <w:szCs w:val="23"/>
        </w:rPr>
      </w:pPr>
      <w:r w:rsidRPr="00CF1EA5">
        <w:rPr>
          <w:sz w:val="23"/>
          <w:szCs w:val="23"/>
        </w:rPr>
        <w:t>EFL Unplanned Outages webpage (accessed 9 January 2026)</w:t>
      </w:r>
    </w:p>
    <w:p w14:paraId="594BCC47" w14:textId="77777777" w:rsidR="00F91807" w:rsidRPr="00CF1EA5" w:rsidRDefault="00F91807" w:rsidP="00F91807">
      <w:pPr>
        <w:numPr>
          <w:ilvl w:val="0"/>
          <w:numId w:val="15"/>
        </w:numPr>
        <w:spacing w:after="0"/>
        <w:rPr>
          <w:sz w:val="23"/>
          <w:szCs w:val="23"/>
        </w:rPr>
      </w:pPr>
      <w:r w:rsidRPr="00CF1EA5">
        <w:rPr>
          <w:sz w:val="23"/>
          <w:szCs w:val="23"/>
        </w:rPr>
        <w:t>EFL Facebook page: Planned outage notices (31 December 2024 – 7 January 2026)</w:t>
      </w:r>
    </w:p>
    <w:p w14:paraId="4BE89EF4" w14:textId="77777777" w:rsidR="00F91807" w:rsidRPr="00CF1EA5" w:rsidRDefault="00F91807" w:rsidP="00F91807">
      <w:pPr>
        <w:numPr>
          <w:ilvl w:val="0"/>
          <w:numId w:val="15"/>
        </w:numPr>
        <w:spacing w:after="0"/>
        <w:rPr>
          <w:sz w:val="23"/>
          <w:szCs w:val="23"/>
        </w:rPr>
      </w:pPr>
      <w:r w:rsidRPr="00CF1EA5">
        <w:rPr>
          <w:sz w:val="23"/>
          <w:szCs w:val="23"/>
        </w:rPr>
        <w:t xml:space="preserve">Public statements by the Minister for Finance on EFL </w:t>
      </w:r>
      <w:proofErr w:type="spellStart"/>
      <w:r w:rsidRPr="00CF1EA5">
        <w:rPr>
          <w:sz w:val="23"/>
          <w:szCs w:val="23"/>
        </w:rPr>
        <w:t>privatisation</w:t>
      </w:r>
      <w:proofErr w:type="spellEnd"/>
      <w:r w:rsidRPr="00CF1EA5">
        <w:rPr>
          <w:sz w:val="23"/>
          <w:szCs w:val="23"/>
        </w:rPr>
        <w:t xml:space="preserve"> safeguards (2025–2026)</w:t>
      </w:r>
    </w:p>
    <w:p w14:paraId="3626C458" w14:textId="77777777" w:rsidR="00F91807" w:rsidRPr="00CF1EA5" w:rsidRDefault="00F91807" w:rsidP="00F91807">
      <w:pPr>
        <w:numPr>
          <w:ilvl w:val="0"/>
          <w:numId w:val="15"/>
        </w:numPr>
        <w:spacing w:after="0"/>
        <w:rPr>
          <w:sz w:val="23"/>
          <w:szCs w:val="23"/>
        </w:rPr>
      </w:pPr>
      <w:r w:rsidRPr="00CF1EA5">
        <w:rPr>
          <w:sz w:val="23"/>
          <w:szCs w:val="23"/>
        </w:rPr>
        <w:t xml:space="preserve">Fijian Government and EFL statements on 2018 partial </w:t>
      </w:r>
      <w:proofErr w:type="spellStart"/>
      <w:r w:rsidRPr="00CF1EA5">
        <w:rPr>
          <w:sz w:val="23"/>
          <w:szCs w:val="23"/>
        </w:rPr>
        <w:t>privatisation</w:t>
      </w:r>
      <w:proofErr w:type="spellEnd"/>
      <w:r w:rsidRPr="00CF1EA5">
        <w:rPr>
          <w:sz w:val="23"/>
          <w:szCs w:val="23"/>
        </w:rPr>
        <w:t xml:space="preserve"> proceeds</w:t>
      </w:r>
    </w:p>
    <w:p w14:paraId="0847254F" w14:textId="77777777" w:rsidR="00F91807" w:rsidRPr="00CF1EA5" w:rsidRDefault="00F91807" w:rsidP="00F91807">
      <w:pPr>
        <w:numPr>
          <w:ilvl w:val="0"/>
          <w:numId w:val="15"/>
        </w:numPr>
        <w:spacing w:after="0"/>
        <w:rPr>
          <w:sz w:val="23"/>
          <w:szCs w:val="23"/>
        </w:rPr>
      </w:pPr>
      <w:r w:rsidRPr="00CF1EA5">
        <w:rPr>
          <w:sz w:val="23"/>
          <w:szCs w:val="23"/>
        </w:rPr>
        <w:t>Reserve Bank of Fiji Economic Statistics</w:t>
      </w:r>
    </w:p>
    <w:p w14:paraId="2C6F0A2A" w14:textId="77777777" w:rsidR="00F91807" w:rsidRPr="00CF1EA5" w:rsidRDefault="00F91807" w:rsidP="00F91807">
      <w:pPr>
        <w:numPr>
          <w:ilvl w:val="0"/>
          <w:numId w:val="15"/>
        </w:numPr>
        <w:spacing w:after="0"/>
        <w:rPr>
          <w:sz w:val="23"/>
          <w:szCs w:val="23"/>
        </w:rPr>
      </w:pPr>
      <w:r w:rsidRPr="00CF1EA5">
        <w:rPr>
          <w:sz w:val="23"/>
          <w:szCs w:val="23"/>
        </w:rPr>
        <w:t>Fiji Bureau of Statistics: Census 2017, Population Projections</w:t>
      </w:r>
    </w:p>
    <w:p w14:paraId="3AE5A528" w14:textId="77777777" w:rsidR="00F91807" w:rsidRPr="00CF1EA5" w:rsidRDefault="00F91807" w:rsidP="00F91807">
      <w:pPr>
        <w:numPr>
          <w:ilvl w:val="0"/>
          <w:numId w:val="15"/>
        </w:numPr>
        <w:spacing w:after="0"/>
        <w:rPr>
          <w:sz w:val="23"/>
          <w:szCs w:val="23"/>
        </w:rPr>
      </w:pPr>
      <w:r w:rsidRPr="00CF1EA5">
        <w:rPr>
          <w:sz w:val="23"/>
          <w:szCs w:val="23"/>
        </w:rPr>
        <w:t>IRENA: Renewable Power Generation Costs Reports (2022–2024)</w:t>
      </w:r>
    </w:p>
    <w:p w14:paraId="16FDB657" w14:textId="77777777" w:rsidR="00F91807" w:rsidRPr="00CF1EA5" w:rsidRDefault="00F91807" w:rsidP="00F91807">
      <w:pPr>
        <w:numPr>
          <w:ilvl w:val="0"/>
          <w:numId w:val="15"/>
        </w:numPr>
        <w:spacing w:after="0"/>
        <w:rPr>
          <w:sz w:val="23"/>
          <w:szCs w:val="23"/>
        </w:rPr>
      </w:pPr>
      <w:proofErr w:type="spellStart"/>
      <w:r w:rsidRPr="00CF1EA5">
        <w:rPr>
          <w:sz w:val="23"/>
          <w:szCs w:val="23"/>
        </w:rPr>
        <w:t>BloombergNEF</w:t>
      </w:r>
      <w:proofErr w:type="spellEnd"/>
      <w:r w:rsidRPr="00CF1EA5">
        <w:rPr>
          <w:sz w:val="23"/>
          <w:szCs w:val="23"/>
        </w:rPr>
        <w:t>: Lithium-Ion Battery Price Survey 2024</w:t>
      </w:r>
    </w:p>
    <w:p w14:paraId="1E48F409" w14:textId="77777777" w:rsidR="00F91807" w:rsidRPr="00CF1EA5" w:rsidRDefault="00F91807" w:rsidP="00F91807">
      <w:pPr>
        <w:numPr>
          <w:ilvl w:val="0"/>
          <w:numId w:val="15"/>
        </w:numPr>
        <w:spacing w:after="0"/>
        <w:rPr>
          <w:sz w:val="23"/>
          <w:szCs w:val="23"/>
        </w:rPr>
      </w:pPr>
      <w:r w:rsidRPr="00CF1EA5">
        <w:rPr>
          <w:sz w:val="23"/>
          <w:szCs w:val="23"/>
        </w:rPr>
        <w:t>World Bank: Global Electricity Regulatory Index (GERI)</w:t>
      </w:r>
    </w:p>
    <w:p w14:paraId="6FC6BB3C" w14:textId="77777777" w:rsidR="00F91807" w:rsidRPr="00CF1EA5" w:rsidRDefault="00F91807" w:rsidP="00F91807">
      <w:pPr>
        <w:numPr>
          <w:ilvl w:val="0"/>
          <w:numId w:val="15"/>
        </w:numPr>
        <w:spacing w:after="0"/>
        <w:rPr>
          <w:sz w:val="23"/>
          <w:szCs w:val="23"/>
        </w:rPr>
      </w:pPr>
      <w:r w:rsidRPr="00CF1EA5">
        <w:rPr>
          <w:sz w:val="23"/>
          <w:szCs w:val="23"/>
        </w:rPr>
        <w:t>World Bank/PPIAF: Tariff-Setting Guidelines</w:t>
      </w:r>
    </w:p>
    <w:p w14:paraId="3609CEF4" w14:textId="77777777" w:rsidR="00F91807" w:rsidRPr="00CF1EA5" w:rsidRDefault="00F91807" w:rsidP="00F91807">
      <w:pPr>
        <w:numPr>
          <w:ilvl w:val="0"/>
          <w:numId w:val="15"/>
        </w:numPr>
        <w:spacing w:after="0"/>
        <w:rPr>
          <w:sz w:val="23"/>
          <w:szCs w:val="23"/>
        </w:rPr>
      </w:pPr>
      <w:r w:rsidRPr="00CF1EA5">
        <w:rPr>
          <w:sz w:val="23"/>
          <w:szCs w:val="23"/>
        </w:rPr>
        <w:t>Various submissions from FCEF membership across all sectors (21 December 2025 to 10 January 2026)</w:t>
      </w:r>
    </w:p>
    <w:p w14:paraId="31553EAF" w14:textId="77777777" w:rsidR="00F91807" w:rsidRPr="00CF1EA5" w:rsidRDefault="00F91807" w:rsidP="00F91807">
      <w:pPr>
        <w:numPr>
          <w:ilvl w:val="0"/>
          <w:numId w:val="15"/>
        </w:numPr>
        <w:spacing w:after="0"/>
        <w:rPr>
          <w:sz w:val="23"/>
          <w:szCs w:val="23"/>
        </w:rPr>
      </w:pPr>
      <w:r w:rsidRPr="00CF1EA5">
        <w:rPr>
          <w:sz w:val="23"/>
          <w:szCs w:val="23"/>
        </w:rPr>
        <w:t>Various media reports (Fiji Sun, Fiji Times, Fiji Village, FBC News)</w:t>
      </w:r>
    </w:p>
    <w:p w14:paraId="2E528376" w14:textId="77777777" w:rsidR="00AA2148" w:rsidRDefault="00AA2148"/>
    <w:p w14:paraId="2E8A0F13" w14:textId="77777777" w:rsidR="00F37A77" w:rsidRDefault="00F37A77"/>
    <w:p w14:paraId="01711124" w14:textId="77777777" w:rsidR="00CF1EA5" w:rsidRDefault="00CF1EA5"/>
    <w:p w14:paraId="69AB3F42" w14:textId="77777777" w:rsidR="00AA2148" w:rsidRPr="00CF1EA5" w:rsidRDefault="00B771E4">
      <w:pPr>
        <w:jc w:val="center"/>
        <w:rPr>
          <w:sz w:val="24"/>
        </w:rPr>
      </w:pPr>
      <w:r w:rsidRPr="00CF1EA5">
        <w:rPr>
          <w:b/>
          <w:sz w:val="24"/>
        </w:rPr>
        <w:t>— END OF SUBMISSION —</w:t>
      </w:r>
    </w:p>
    <w:sectPr w:rsidR="00AA2148" w:rsidRPr="00CF1EA5" w:rsidSect="00CB435D">
      <w:footerReference w:type="default" r:id="rId9"/>
      <w:pgSz w:w="12240" w:h="15840"/>
      <w:pgMar w:top="1440" w:right="1183" w:bottom="1134" w:left="2127"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D146D" w14:textId="77777777" w:rsidR="006440B2" w:rsidRDefault="006440B2" w:rsidP="00CB435D">
      <w:pPr>
        <w:spacing w:after="0" w:line="240" w:lineRule="auto"/>
      </w:pPr>
      <w:r>
        <w:separator/>
      </w:r>
    </w:p>
  </w:endnote>
  <w:endnote w:type="continuationSeparator" w:id="0">
    <w:p w14:paraId="6857D26E" w14:textId="77777777" w:rsidR="006440B2" w:rsidRDefault="006440B2" w:rsidP="00CB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426633"/>
      <w:docPartObj>
        <w:docPartGallery w:val="Page Numbers (Bottom of Page)"/>
        <w:docPartUnique/>
      </w:docPartObj>
    </w:sdtPr>
    <w:sdtContent>
      <w:p w14:paraId="47E4BEA1" w14:textId="77777777" w:rsidR="0075766B" w:rsidRDefault="0075766B">
        <w:pPr>
          <w:pStyle w:val="Footer"/>
        </w:pPr>
        <w:r>
          <w:rPr>
            <w:noProof/>
          </w:rPr>
          <mc:AlternateContent>
            <mc:Choice Requires="wpg">
              <w:drawing>
                <wp:anchor distT="0" distB="0" distL="114300" distR="114300" simplePos="0" relativeHeight="251658752" behindDoc="0" locked="0" layoutInCell="1" allowOverlap="1" wp14:anchorId="7DE9F7FF" wp14:editId="13DBF2BE">
                  <wp:simplePos x="0" y="0"/>
                  <wp:positionH relativeFrom="page">
                    <wp:align>center</wp:align>
                  </wp:positionH>
                  <wp:positionV relativeFrom="bottomMargin">
                    <wp:align>center</wp:align>
                  </wp:positionV>
                  <wp:extent cx="7753350" cy="190500"/>
                  <wp:effectExtent l="9525" t="9525"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154C" w14:textId="77777777" w:rsidR="0075766B" w:rsidRPr="00CB435D" w:rsidRDefault="0075766B">
                                <w:pPr>
                                  <w:jc w:val="center"/>
                                  <w:rPr>
                                    <w:lang w:val="en-GB"/>
                                  </w:rPr>
                                </w:pPr>
                                <w:r>
                                  <w:fldChar w:fldCharType="begin"/>
                                </w:r>
                                <w:r>
                                  <w:instrText xml:space="preserve"> PAGE    \* MERGEFORMAT </w:instrText>
                                </w:r>
                                <w:r>
                                  <w:fldChar w:fldCharType="separate"/>
                                </w:r>
                                <w:r w:rsidR="00A42421" w:rsidRPr="00A42421">
                                  <w:rPr>
                                    <w:noProof/>
                                    <w:color w:val="8C8C8C" w:themeColor="background1" w:themeShade="8C"/>
                                  </w:rPr>
                                  <w:t>23</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DE9F7FF" id="Group 1" o:spid="_x0000_s1026" style="position:absolute;margin-left:0;margin-top:0;width:610.5pt;height:15pt;z-index:25165875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77FC154C" w14:textId="77777777" w:rsidR="0075766B" w:rsidRPr="00CB435D" w:rsidRDefault="0075766B">
                          <w:pPr>
                            <w:jc w:val="center"/>
                            <w:rPr>
                              <w:lang w:val="en-GB"/>
                            </w:rPr>
                          </w:pPr>
                          <w:r>
                            <w:fldChar w:fldCharType="begin"/>
                          </w:r>
                          <w:r>
                            <w:instrText xml:space="preserve"> PAGE    \* MERGEFORMAT </w:instrText>
                          </w:r>
                          <w:r>
                            <w:fldChar w:fldCharType="separate"/>
                          </w:r>
                          <w:r w:rsidR="00A42421" w:rsidRPr="00A42421">
                            <w:rPr>
                              <w:noProof/>
                              <w:color w:val="8C8C8C" w:themeColor="background1" w:themeShade="8C"/>
                            </w:rPr>
                            <w:t>23</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A42D" w14:textId="77777777" w:rsidR="006440B2" w:rsidRDefault="006440B2" w:rsidP="00CB435D">
      <w:pPr>
        <w:spacing w:after="0" w:line="240" w:lineRule="auto"/>
      </w:pPr>
      <w:r>
        <w:separator/>
      </w:r>
    </w:p>
  </w:footnote>
  <w:footnote w:type="continuationSeparator" w:id="0">
    <w:p w14:paraId="584F4058" w14:textId="77777777" w:rsidR="006440B2" w:rsidRDefault="006440B2" w:rsidP="00CB4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0826DC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7014AD"/>
    <w:multiLevelType w:val="multilevel"/>
    <w:tmpl w:val="D622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17E9D"/>
    <w:multiLevelType w:val="hybridMultilevel"/>
    <w:tmpl w:val="0FF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33652"/>
    <w:multiLevelType w:val="multilevel"/>
    <w:tmpl w:val="3C4EE43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FA3FD1"/>
    <w:multiLevelType w:val="multilevel"/>
    <w:tmpl w:val="DF66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40395"/>
    <w:multiLevelType w:val="multilevel"/>
    <w:tmpl w:val="1CA42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B27B9"/>
    <w:multiLevelType w:val="multilevel"/>
    <w:tmpl w:val="2804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779122">
    <w:abstractNumId w:val="8"/>
  </w:num>
  <w:num w:numId="2" w16cid:durableId="422188744">
    <w:abstractNumId w:val="6"/>
  </w:num>
  <w:num w:numId="3" w16cid:durableId="679431658">
    <w:abstractNumId w:val="5"/>
  </w:num>
  <w:num w:numId="4" w16cid:durableId="1790394528">
    <w:abstractNumId w:val="4"/>
  </w:num>
  <w:num w:numId="5" w16cid:durableId="165705036">
    <w:abstractNumId w:val="7"/>
  </w:num>
  <w:num w:numId="6" w16cid:durableId="190725927">
    <w:abstractNumId w:val="3"/>
  </w:num>
  <w:num w:numId="7" w16cid:durableId="629362652">
    <w:abstractNumId w:val="2"/>
  </w:num>
  <w:num w:numId="8" w16cid:durableId="235020697">
    <w:abstractNumId w:val="1"/>
  </w:num>
  <w:num w:numId="9" w16cid:durableId="1874077949">
    <w:abstractNumId w:val="0"/>
  </w:num>
  <w:num w:numId="10" w16cid:durableId="2119988237">
    <w:abstractNumId w:val="13"/>
  </w:num>
  <w:num w:numId="11" w16cid:durableId="1879120418">
    <w:abstractNumId w:val="12"/>
  </w:num>
  <w:num w:numId="12" w16cid:durableId="1454523739">
    <w:abstractNumId w:val="14"/>
  </w:num>
  <w:num w:numId="13" w16cid:durableId="1645352469">
    <w:abstractNumId w:val="11"/>
  </w:num>
  <w:num w:numId="14" w16cid:durableId="131218820">
    <w:abstractNumId w:val="10"/>
  </w:num>
  <w:num w:numId="15" w16cid:durableId="16059606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067"/>
    <w:rsid w:val="00034616"/>
    <w:rsid w:val="00044479"/>
    <w:rsid w:val="0006063C"/>
    <w:rsid w:val="000657D1"/>
    <w:rsid w:val="00066304"/>
    <w:rsid w:val="00097B6C"/>
    <w:rsid w:val="000A0880"/>
    <w:rsid w:val="000A3860"/>
    <w:rsid w:val="000E43B0"/>
    <w:rsid w:val="001109CF"/>
    <w:rsid w:val="0015074B"/>
    <w:rsid w:val="001D26AD"/>
    <w:rsid w:val="001E0B45"/>
    <w:rsid w:val="0029639D"/>
    <w:rsid w:val="00326F90"/>
    <w:rsid w:val="00463F38"/>
    <w:rsid w:val="004C07F5"/>
    <w:rsid w:val="004D09B4"/>
    <w:rsid w:val="00562FA2"/>
    <w:rsid w:val="00577C6E"/>
    <w:rsid w:val="005C4B3F"/>
    <w:rsid w:val="00625FD7"/>
    <w:rsid w:val="006440B2"/>
    <w:rsid w:val="0065595D"/>
    <w:rsid w:val="00686543"/>
    <w:rsid w:val="006E35F3"/>
    <w:rsid w:val="006F68FC"/>
    <w:rsid w:val="0075766B"/>
    <w:rsid w:val="00782456"/>
    <w:rsid w:val="007B08CE"/>
    <w:rsid w:val="007B5272"/>
    <w:rsid w:val="007C4C39"/>
    <w:rsid w:val="00813670"/>
    <w:rsid w:val="008351A7"/>
    <w:rsid w:val="00910C64"/>
    <w:rsid w:val="00921B01"/>
    <w:rsid w:val="0099205B"/>
    <w:rsid w:val="009A1E01"/>
    <w:rsid w:val="009F5666"/>
    <w:rsid w:val="00A02C63"/>
    <w:rsid w:val="00A42421"/>
    <w:rsid w:val="00A93C26"/>
    <w:rsid w:val="00AA1D8D"/>
    <w:rsid w:val="00AA2148"/>
    <w:rsid w:val="00AF0AF5"/>
    <w:rsid w:val="00B11712"/>
    <w:rsid w:val="00B47730"/>
    <w:rsid w:val="00B742CC"/>
    <w:rsid w:val="00B771E4"/>
    <w:rsid w:val="00B9465F"/>
    <w:rsid w:val="00B95255"/>
    <w:rsid w:val="00BA644F"/>
    <w:rsid w:val="00BC1D12"/>
    <w:rsid w:val="00BF17EE"/>
    <w:rsid w:val="00BF31A3"/>
    <w:rsid w:val="00C260BE"/>
    <w:rsid w:val="00C9286A"/>
    <w:rsid w:val="00CB0664"/>
    <w:rsid w:val="00CB435D"/>
    <w:rsid w:val="00CB44DC"/>
    <w:rsid w:val="00CF1EA5"/>
    <w:rsid w:val="00CF25C3"/>
    <w:rsid w:val="00D664E9"/>
    <w:rsid w:val="00E66E09"/>
    <w:rsid w:val="00ED47BD"/>
    <w:rsid w:val="00F04102"/>
    <w:rsid w:val="00F04160"/>
    <w:rsid w:val="00F37A77"/>
    <w:rsid w:val="00F446D8"/>
    <w:rsid w:val="00F44C06"/>
    <w:rsid w:val="00F67977"/>
    <w:rsid w:val="00F91807"/>
    <w:rsid w:val="00FC693F"/>
    <w:rsid w:val="00FF68D3"/>
    <w:rsid w:val="00FF6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AF8B14"/>
  <w14:defaultImageDpi w14:val="300"/>
  <w15:docId w15:val="{0F0726BD-AA9C-4449-9757-F6A2DB9A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60"/>
    </w:pPr>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1E0B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61170">
      <w:bodyDiv w:val="1"/>
      <w:marLeft w:val="0"/>
      <w:marRight w:val="0"/>
      <w:marTop w:val="0"/>
      <w:marBottom w:val="0"/>
      <w:divBdr>
        <w:top w:val="none" w:sz="0" w:space="0" w:color="auto"/>
        <w:left w:val="none" w:sz="0" w:space="0" w:color="auto"/>
        <w:bottom w:val="none" w:sz="0" w:space="0" w:color="auto"/>
        <w:right w:val="none" w:sz="0" w:space="0" w:color="auto"/>
      </w:divBdr>
    </w:div>
    <w:div w:id="593133064">
      <w:bodyDiv w:val="1"/>
      <w:marLeft w:val="0"/>
      <w:marRight w:val="0"/>
      <w:marTop w:val="0"/>
      <w:marBottom w:val="0"/>
      <w:divBdr>
        <w:top w:val="none" w:sz="0" w:space="0" w:color="auto"/>
        <w:left w:val="none" w:sz="0" w:space="0" w:color="auto"/>
        <w:bottom w:val="none" w:sz="0" w:space="0" w:color="auto"/>
        <w:right w:val="none" w:sz="0" w:space="0" w:color="auto"/>
      </w:divBdr>
    </w:div>
    <w:div w:id="632950045">
      <w:bodyDiv w:val="1"/>
      <w:marLeft w:val="0"/>
      <w:marRight w:val="0"/>
      <w:marTop w:val="0"/>
      <w:marBottom w:val="0"/>
      <w:divBdr>
        <w:top w:val="none" w:sz="0" w:space="0" w:color="auto"/>
        <w:left w:val="none" w:sz="0" w:space="0" w:color="auto"/>
        <w:bottom w:val="none" w:sz="0" w:space="0" w:color="auto"/>
        <w:right w:val="none" w:sz="0" w:space="0" w:color="auto"/>
      </w:divBdr>
    </w:div>
    <w:div w:id="889345668">
      <w:bodyDiv w:val="1"/>
      <w:marLeft w:val="0"/>
      <w:marRight w:val="0"/>
      <w:marTop w:val="0"/>
      <w:marBottom w:val="0"/>
      <w:divBdr>
        <w:top w:val="none" w:sz="0" w:space="0" w:color="auto"/>
        <w:left w:val="none" w:sz="0" w:space="0" w:color="auto"/>
        <w:bottom w:val="none" w:sz="0" w:space="0" w:color="auto"/>
        <w:right w:val="none" w:sz="0" w:space="0" w:color="auto"/>
      </w:divBdr>
    </w:div>
    <w:div w:id="960577387">
      <w:bodyDiv w:val="1"/>
      <w:marLeft w:val="0"/>
      <w:marRight w:val="0"/>
      <w:marTop w:val="0"/>
      <w:marBottom w:val="0"/>
      <w:divBdr>
        <w:top w:val="none" w:sz="0" w:space="0" w:color="auto"/>
        <w:left w:val="none" w:sz="0" w:space="0" w:color="auto"/>
        <w:bottom w:val="none" w:sz="0" w:space="0" w:color="auto"/>
        <w:right w:val="none" w:sz="0" w:space="0" w:color="auto"/>
      </w:divBdr>
    </w:div>
    <w:div w:id="1238125762">
      <w:bodyDiv w:val="1"/>
      <w:marLeft w:val="0"/>
      <w:marRight w:val="0"/>
      <w:marTop w:val="0"/>
      <w:marBottom w:val="0"/>
      <w:divBdr>
        <w:top w:val="none" w:sz="0" w:space="0" w:color="auto"/>
        <w:left w:val="none" w:sz="0" w:space="0" w:color="auto"/>
        <w:bottom w:val="none" w:sz="0" w:space="0" w:color="auto"/>
        <w:right w:val="none" w:sz="0" w:space="0" w:color="auto"/>
      </w:divBdr>
    </w:div>
    <w:div w:id="1238202060">
      <w:bodyDiv w:val="1"/>
      <w:marLeft w:val="0"/>
      <w:marRight w:val="0"/>
      <w:marTop w:val="0"/>
      <w:marBottom w:val="0"/>
      <w:divBdr>
        <w:top w:val="none" w:sz="0" w:space="0" w:color="auto"/>
        <w:left w:val="none" w:sz="0" w:space="0" w:color="auto"/>
        <w:bottom w:val="none" w:sz="0" w:space="0" w:color="auto"/>
        <w:right w:val="none" w:sz="0" w:space="0" w:color="auto"/>
      </w:divBdr>
    </w:div>
    <w:div w:id="1665205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F5893-3A42-4444-B832-38893579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7112</Words>
  <Characters>40539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Fiji Commerce and Employers Federation</vt:lpstr>
    </vt:vector>
  </TitlesOfParts>
  <Manager/>
  <Company/>
  <LinksUpToDate>false</LinksUpToDate>
  <CharactersWithSpaces>47556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Fiji Commerce and Employers Federation</dc:title>
  <dc:subject/>
  <dc:creator>python-docx</dc:creator>
  <cp:keywords/>
  <dc:description>generated by python-docx</dc:description>
  <cp:lastModifiedBy>comms</cp:lastModifiedBy>
  <cp:revision>2</cp:revision>
  <dcterms:created xsi:type="dcterms:W3CDTF">2026-01-13T00:33:00Z</dcterms:created>
  <dcterms:modified xsi:type="dcterms:W3CDTF">2026-01-13T00:33:00Z</dcterms:modified>
  <cp:category/>
</cp:coreProperties>
</file>