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6650" w14:textId="77777777" w:rsidR="00CB44DC" w:rsidRDefault="00CB44DC">
      <w:pPr>
        <w:jc w:val="center"/>
        <w:rPr>
          <w:b/>
          <w:sz w:val="32"/>
        </w:rPr>
      </w:pPr>
    </w:p>
    <w:p w14:paraId="0E65F9D1" w14:textId="4EA52AC2" w:rsidR="000A0880" w:rsidRDefault="000A0880">
      <w:pPr>
        <w:jc w:val="center"/>
        <w:rPr>
          <w:b/>
          <w:sz w:val="32"/>
        </w:rPr>
      </w:pPr>
      <w:r>
        <w:rPr>
          <w:noProof/>
        </w:rPr>
        <w:drawing>
          <wp:inline distT="0" distB="0" distL="0" distR="0" wp14:anchorId="3166397B" wp14:editId="0F6061E3">
            <wp:extent cx="2322014" cy="2203450"/>
            <wp:effectExtent l="0" t="0" r="2540" b="6350"/>
            <wp:docPr id="2" name="Picture 1">
              <a:extLst xmlns:a="http://schemas.openxmlformats.org/drawingml/2006/main">
                <a:ext uri="{FF2B5EF4-FFF2-40B4-BE49-F238E27FC236}">
                  <a16:creationId xmlns:a16="http://schemas.microsoft.com/office/drawing/2014/main" id="{E64F1FE2-E788-4F60-869A-A4210D6273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64F1FE2-E788-4F60-869A-A4210D627372}"/>
                        </a:ext>
                      </a:extLst>
                    </pic:cNvPr>
                    <pic:cNvPicPr>
                      <a:picLocks noChangeAspect="1"/>
                    </pic:cNvPicPr>
                  </pic:nvPicPr>
                  <pic:blipFill rotWithShape="1">
                    <a:blip r:embed="rId8"/>
                    <a:srcRect l="28102" t="16275" r="25851" b="15749"/>
                    <a:stretch/>
                  </pic:blipFill>
                  <pic:spPr bwMode="auto">
                    <a:xfrm>
                      <a:off x="0" y="0"/>
                      <a:ext cx="2366397" cy="2245566"/>
                    </a:xfrm>
                    <a:prstGeom prst="rect">
                      <a:avLst/>
                    </a:prstGeom>
                    <a:ln>
                      <a:noFill/>
                    </a:ln>
                    <a:extLst>
                      <a:ext uri="{53640926-AAD7-44D8-BBD7-CCE9431645EC}">
                        <a14:shadowObscured xmlns:a14="http://schemas.microsoft.com/office/drawing/2010/main"/>
                      </a:ext>
                    </a:extLst>
                  </pic:spPr>
                </pic:pic>
              </a:graphicData>
            </a:graphic>
          </wp:inline>
        </w:drawing>
      </w:r>
    </w:p>
    <w:p w14:paraId="2875825D" w14:textId="77777777" w:rsidR="00686543" w:rsidRDefault="00686543" w:rsidP="00653EAF">
      <w:pPr>
        <w:rPr>
          <w:b/>
          <w:sz w:val="32"/>
        </w:rPr>
      </w:pPr>
    </w:p>
    <w:p w14:paraId="3F16E6ED" w14:textId="77777777" w:rsidR="00686543" w:rsidRDefault="00686543">
      <w:pPr>
        <w:jc w:val="center"/>
      </w:pPr>
    </w:p>
    <w:p w14:paraId="4CB1881E" w14:textId="7F97EB29" w:rsidR="00AA2148" w:rsidRDefault="00B771E4" w:rsidP="00892B31">
      <w:pPr>
        <w:jc w:val="both"/>
        <w:rPr>
          <w:rStyle w:val="Strong"/>
          <w:sz w:val="32"/>
          <w:szCs w:val="32"/>
        </w:rPr>
      </w:pPr>
      <w:r w:rsidRPr="00782456">
        <w:rPr>
          <w:rStyle w:val="Strong"/>
          <w:sz w:val="32"/>
          <w:szCs w:val="32"/>
        </w:rPr>
        <w:t>SUBMISSION TO</w:t>
      </w:r>
      <w:r w:rsidR="000A0880" w:rsidRPr="00782456">
        <w:rPr>
          <w:rStyle w:val="Strong"/>
          <w:sz w:val="32"/>
          <w:szCs w:val="32"/>
        </w:rPr>
        <w:t xml:space="preserve"> </w:t>
      </w:r>
      <w:r w:rsidRPr="00782456">
        <w:rPr>
          <w:rStyle w:val="Strong"/>
          <w:sz w:val="32"/>
          <w:szCs w:val="32"/>
        </w:rPr>
        <w:t>THE FIJI COMPETITION AND CONSUMER COMMISSION</w:t>
      </w:r>
      <w:r w:rsidR="000A0880" w:rsidRPr="00782456">
        <w:rPr>
          <w:rStyle w:val="Strong"/>
          <w:sz w:val="32"/>
          <w:szCs w:val="32"/>
        </w:rPr>
        <w:t xml:space="preserve"> (FCCC) ON </w:t>
      </w:r>
      <w:r w:rsidR="00782456" w:rsidRPr="00782456">
        <w:rPr>
          <w:rStyle w:val="Strong"/>
          <w:sz w:val="32"/>
          <w:szCs w:val="32"/>
        </w:rPr>
        <w:t xml:space="preserve">THE </w:t>
      </w:r>
      <w:r w:rsidRPr="00782456">
        <w:rPr>
          <w:rStyle w:val="Strong"/>
          <w:sz w:val="32"/>
          <w:szCs w:val="32"/>
        </w:rPr>
        <w:t>ENERGY FIJI LIMITED</w:t>
      </w:r>
      <w:r w:rsidR="00782456" w:rsidRPr="00782456">
        <w:rPr>
          <w:rStyle w:val="Strong"/>
          <w:sz w:val="32"/>
          <w:szCs w:val="32"/>
        </w:rPr>
        <w:t xml:space="preserve"> (EFL)</w:t>
      </w:r>
      <w:r w:rsidRPr="00782456">
        <w:rPr>
          <w:rStyle w:val="Strong"/>
          <w:sz w:val="32"/>
          <w:szCs w:val="32"/>
        </w:rPr>
        <w:t xml:space="preserve"> ELECTRICITY TARIFF DETERMINATION</w:t>
      </w:r>
      <w:r w:rsidR="00CB435D" w:rsidRPr="00782456">
        <w:rPr>
          <w:rStyle w:val="Strong"/>
          <w:sz w:val="32"/>
          <w:szCs w:val="32"/>
        </w:rPr>
        <w:t xml:space="preserve"> </w:t>
      </w:r>
    </w:p>
    <w:p w14:paraId="0DD1007D" w14:textId="77777777" w:rsidR="00653EAF" w:rsidRDefault="00653EAF" w:rsidP="000A0880">
      <w:pPr>
        <w:jc w:val="center"/>
        <w:rPr>
          <w:rStyle w:val="Strong"/>
          <w:sz w:val="32"/>
          <w:szCs w:val="32"/>
        </w:rPr>
      </w:pPr>
    </w:p>
    <w:p w14:paraId="457432BB" w14:textId="653FE729" w:rsidR="00653EAF" w:rsidRPr="00653EAF" w:rsidRDefault="00653EAF" w:rsidP="000A0880">
      <w:pPr>
        <w:jc w:val="center"/>
        <w:rPr>
          <w:rStyle w:val="Strong"/>
          <w:color w:val="EE0000"/>
          <w:sz w:val="32"/>
          <w:szCs w:val="32"/>
        </w:rPr>
      </w:pPr>
      <w:r w:rsidRPr="00653EAF">
        <w:rPr>
          <w:rStyle w:val="Strong"/>
          <w:color w:val="EE0000"/>
          <w:sz w:val="32"/>
          <w:szCs w:val="32"/>
        </w:rPr>
        <w:t>Verbal Presentation to FCCC</w:t>
      </w:r>
    </w:p>
    <w:p w14:paraId="262E251D" w14:textId="77777777" w:rsidR="00782456" w:rsidRDefault="00782456" w:rsidP="000A0880">
      <w:pPr>
        <w:jc w:val="center"/>
        <w:rPr>
          <w:rStyle w:val="Strong"/>
          <w:sz w:val="32"/>
          <w:szCs w:val="32"/>
        </w:rPr>
      </w:pPr>
    </w:p>
    <w:p w14:paraId="20BA94EF" w14:textId="726C6ACB" w:rsidR="00782456" w:rsidRPr="00782456" w:rsidRDefault="00782456" w:rsidP="000A0880">
      <w:pPr>
        <w:jc w:val="center"/>
        <w:rPr>
          <w:rStyle w:val="Strong"/>
          <w:sz w:val="32"/>
          <w:szCs w:val="32"/>
        </w:rPr>
      </w:pPr>
      <w:r>
        <w:rPr>
          <w:rStyle w:val="Strong"/>
          <w:sz w:val="32"/>
          <w:szCs w:val="32"/>
        </w:rPr>
        <w:t>13 January 2026</w:t>
      </w:r>
    </w:p>
    <w:p w14:paraId="51BFD2B8" w14:textId="77777777" w:rsidR="00AA2148" w:rsidRDefault="00AA2148">
      <w:pPr>
        <w:rPr>
          <w:sz w:val="24"/>
        </w:rPr>
      </w:pPr>
    </w:p>
    <w:p w14:paraId="4703C54B" w14:textId="77777777" w:rsidR="00686543" w:rsidRDefault="00686543">
      <w:pPr>
        <w:rPr>
          <w:sz w:val="24"/>
        </w:rPr>
      </w:pPr>
    </w:p>
    <w:p w14:paraId="76B4B006" w14:textId="77777777" w:rsidR="00686543" w:rsidRDefault="00686543">
      <w:pPr>
        <w:rPr>
          <w:sz w:val="24"/>
        </w:rPr>
      </w:pPr>
    </w:p>
    <w:p w14:paraId="0CD1D7F5" w14:textId="77777777" w:rsidR="00686543" w:rsidRDefault="00686543">
      <w:pPr>
        <w:rPr>
          <w:sz w:val="24"/>
        </w:rPr>
      </w:pPr>
    </w:p>
    <w:p w14:paraId="24B91D6A" w14:textId="77777777" w:rsidR="00653EAF" w:rsidRDefault="00653EAF">
      <w:pPr>
        <w:rPr>
          <w:sz w:val="24"/>
        </w:rPr>
      </w:pPr>
    </w:p>
    <w:p w14:paraId="5A502338" w14:textId="77777777" w:rsidR="00653EAF" w:rsidRDefault="00653EAF">
      <w:pPr>
        <w:rPr>
          <w:sz w:val="24"/>
        </w:rPr>
      </w:pPr>
    </w:p>
    <w:p w14:paraId="4B7F3E31" w14:textId="77777777" w:rsidR="00653EAF" w:rsidRDefault="00653EAF">
      <w:pPr>
        <w:rPr>
          <w:sz w:val="24"/>
        </w:rPr>
      </w:pPr>
    </w:p>
    <w:p w14:paraId="69272EFE" w14:textId="77777777" w:rsidR="00653EAF" w:rsidRDefault="00653EAF" w:rsidP="000A3860">
      <w:pPr>
        <w:jc w:val="both"/>
        <w:rPr>
          <w:sz w:val="23"/>
          <w:szCs w:val="23"/>
        </w:rPr>
      </w:pPr>
    </w:p>
    <w:p w14:paraId="4628E05B" w14:textId="240EE023" w:rsidR="00AA2148" w:rsidRPr="00892B31" w:rsidRDefault="00653EAF" w:rsidP="000A3860">
      <w:pPr>
        <w:jc w:val="both"/>
        <w:rPr>
          <w:rFonts w:ascii="Aptos" w:hAnsi="Aptos"/>
          <w:sz w:val="28"/>
          <w:szCs w:val="28"/>
        </w:rPr>
      </w:pPr>
      <w:r w:rsidRPr="00892B31">
        <w:rPr>
          <w:rFonts w:ascii="Aptos" w:hAnsi="Aptos"/>
          <w:sz w:val="28"/>
          <w:szCs w:val="28"/>
        </w:rPr>
        <w:lastRenderedPageBreak/>
        <w:t>FCEF’s</w:t>
      </w:r>
      <w:r w:rsidR="00B771E4" w:rsidRPr="00892B31">
        <w:rPr>
          <w:rFonts w:ascii="Aptos" w:hAnsi="Aptos"/>
          <w:sz w:val="28"/>
          <w:szCs w:val="28"/>
        </w:rPr>
        <w:t xml:space="preserve"> submission identifies</w:t>
      </w:r>
      <w:r w:rsidRPr="00892B31">
        <w:rPr>
          <w:rFonts w:ascii="Aptos" w:hAnsi="Aptos"/>
          <w:sz w:val="28"/>
          <w:szCs w:val="28"/>
        </w:rPr>
        <w:t xml:space="preserve"> and focusses on</w:t>
      </w:r>
      <w:r w:rsidR="00B771E4" w:rsidRPr="00892B31">
        <w:rPr>
          <w:rFonts w:ascii="Aptos" w:hAnsi="Aptos"/>
          <w:sz w:val="28"/>
          <w:szCs w:val="28"/>
        </w:rPr>
        <w:t xml:space="preserve"> </w:t>
      </w:r>
      <w:r w:rsidR="00B771E4" w:rsidRPr="00892B31">
        <w:rPr>
          <w:rFonts w:ascii="Aptos" w:hAnsi="Aptos"/>
          <w:b/>
          <w:sz w:val="28"/>
          <w:szCs w:val="28"/>
        </w:rPr>
        <w:t>s</w:t>
      </w:r>
      <w:r w:rsidR="0075178B">
        <w:rPr>
          <w:rFonts w:ascii="Aptos" w:hAnsi="Aptos"/>
          <w:b/>
          <w:sz w:val="28"/>
          <w:szCs w:val="28"/>
        </w:rPr>
        <w:t>even</w:t>
      </w:r>
      <w:r w:rsidR="00B771E4" w:rsidRPr="00892B31">
        <w:rPr>
          <w:rFonts w:ascii="Aptos" w:hAnsi="Aptos"/>
          <w:b/>
          <w:sz w:val="28"/>
          <w:szCs w:val="28"/>
        </w:rPr>
        <w:t xml:space="preserve"> categories</w:t>
      </w:r>
      <w:r w:rsidR="00B771E4" w:rsidRPr="00892B31">
        <w:rPr>
          <w:rFonts w:ascii="Aptos" w:hAnsi="Aptos"/>
          <w:sz w:val="28"/>
          <w:szCs w:val="28"/>
        </w:rPr>
        <w:t xml:space="preserve"> of fatal deficiency in the Commission's determination. Each category standing alone would warrant setting aside the determination. Together, they present an overwhelming case that the determination cannot stand.</w:t>
      </w:r>
    </w:p>
    <w:p w14:paraId="663DF4F4" w14:textId="77777777" w:rsidR="00AA2148" w:rsidRPr="00892B31" w:rsidRDefault="00B771E4">
      <w:pPr>
        <w:pStyle w:val="Heading1"/>
        <w:rPr>
          <w:rFonts w:ascii="Aptos" w:hAnsi="Aptos"/>
        </w:rPr>
      </w:pPr>
      <w:r w:rsidRPr="00892B31">
        <w:rPr>
          <w:rFonts w:ascii="Aptos" w:hAnsi="Aptos"/>
          <w:color w:val="000000"/>
        </w:rPr>
        <w:t>1. STATUTORY OBJECTIVES AND DUTIES NOT FULFILLED</w:t>
      </w:r>
    </w:p>
    <w:p w14:paraId="500ACB3B" w14:textId="77777777" w:rsidR="00816B5D" w:rsidRPr="00892B31" w:rsidRDefault="00816B5D" w:rsidP="000A3860">
      <w:pPr>
        <w:spacing w:after="0" w:line="259" w:lineRule="auto"/>
        <w:jc w:val="both"/>
        <w:rPr>
          <w:rFonts w:ascii="Aptos" w:eastAsia="Calibri" w:hAnsi="Aptos" w:cs="Calibri"/>
          <w:b/>
          <w:sz w:val="28"/>
          <w:szCs w:val="28"/>
        </w:rPr>
      </w:pPr>
    </w:p>
    <w:p w14:paraId="2EB890C7" w14:textId="719D65B5" w:rsidR="00892B31" w:rsidRPr="00892B31" w:rsidRDefault="00892B31" w:rsidP="00892B31">
      <w:pPr>
        <w:pStyle w:val="ListParagraph"/>
        <w:numPr>
          <w:ilvl w:val="0"/>
          <w:numId w:val="16"/>
        </w:numPr>
        <w:jc w:val="both"/>
        <w:rPr>
          <w:rFonts w:ascii="Aptos" w:hAnsi="Aptos"/>
          <w:sz w:val="28"/>
          <w:szCs w:val="28"/>
        </w:rPr>
      </w:pPr>
      <w:r w:rsidRPr="00892B31">
        <w:rPr>
          <w:rFonts w:ascii="Aptos" w:hAnsi="Aptos"/>
          <w:sz w:val="28"/>
          <w:szCs w:val="28"/>
        </w:rPr>
        <w:t>Both the FCCC Act 2010 and the Electricity Act 2017 impose specific obligations that constrain the Commission's discretion and define the standards against which this determination must be assessed.</w:t>
      </w:r>
      <w:r>
        <w:rPr>
          <w:rFonts w:ascii="Aptos" w:hAnsi="Aptos"/>
          <w:sz w:val="28"/>
          <w:szCs w:val="28"/>
        </w:rPr>
        <w:br/>
      </w:r>
    </w:p>
    <w:p w14:paraId="536D66F8" w14:textId="23AFEA34" w:rsidR="00816B5D" w:rsidRPr="00892B31" w:rsidRDefault="001E0B45" w:rsidP="000A3860">
      <w:pPr>
        <w:pStyle w:val="ListParagraph"/>
        <w:numPr>
          <w:ilvl w:val="0"/>
          <w:numId w:val="16"/>
        </w:numPr>
        <w:spacing w:after="0" w:line="259" w:lineRule="auto"/>
        <w:jc w:val="both"/>
        <w:rPr>
          <w:rFonts w:ascii="Aptos" w:eastAsia="Calibri" w:hAnsi="Aptos" w:cs="Arial"/>
          <w:sz w:val="28"/>
          <w:szCs w:val="28"/>
        </w:rPr>
      </w:pPr>
      <w:r w:rsidRPr="00892B31">
        <w:rPr>
          <w:rFonts w:ascii="Aptos" w:eastAsia="Calibri" w:hAnsi="Aptos" w:cs="Arial"/>
          <w:i/>
          <w:sz w:val="28"/>
          <w:szCs w:val="28"/>
        </w:rPr>
        <w:t xml:space="preserve">Under </w:t>
      </w:r>
      <w:r w:rsidR="00816B5D" w:rsidRPr="00892B31">
        <w:rPr>
          <w:rFonts w:ascii="Aptos" w:eastAsia="Calibri" w:hAnsi="Aptos" w:cs="Arial"/>
          <w:i/>
          <w:sz w:val="28"/>
          <w:szCs w:val="28"/>
        </w:rPr>
        <w:t>its</w:t>
      </w:r>
      <w:r w:rsidRPr="00892B31">
        <w:rPr>
          <w:rFonts w:ascii="Aptos" w:eastAsia="Calibri" w:hAnsi="Aptos" w:cs="Arial"/>
          <w:i/>
          <w:sz w:val="28"/>
          <w:szCs w:val="28"/>
        </w:rPr>
        <w:t xml:space="preserve"> Act, the Commission is mandated to promote the interests of consumers and ensure that regulated prices are reasonable</w:t>
      </w:r>
      <w:r w:rsidR="00F04160" w:rsidRPr="00892B31">
        <w:rPr>
          <w:rFonts w:ascii="Aptos" w:eastAsia="Calibri" w:hAnsi="Aptos" w:cs="Arial"/>
          <w:sz w:val="28"/>
          <w:szCs w:val="28"/>
        </w:rPr>
        <w:t>. A 34.7% increase</w:t>
      </w:r>
      <w:r w:rsidR="006E35F3" w:rsidRPr="00892B31">
        <w:rPr>
          <w:rFonts w:ascii="Aptos" w:eastAsia="Calibri" w:hAnsi="Aptos" w:cs="Arial"/>
          <w:sz w:val="28"/>
          <w:szCs w:val="28"/>
        </w:rPr>
        <w:t xml:space="preserve"> - </w:t>
      </w:r>
      <w:r w:rsidR="00F04160" w:rsidRPr="00892B31">
        <w:rPr>
          <w:rFonts w:ascii="Aptos" w:eastAsia="Calibri" w:hAnsi="Aptos" w:cs="Arial"/>
          <w:sz w:val="28"/>
          <w:szCs w:val="28"/>
        </w:rPr>
        <w:t>occurring alongside a 25% corporate tax hike and 87% minimum wage increase</w:t>
      </w:r>
      <w:r w:rsidR="006E35F3" w:rsidRPr="00892B31">
        <w:rPr>
          <w:rFonts w:ascii="Aptos" w:eastAsia="Calibri" w:hAnsi="Aptos" w:cs="Arial"/>
          <w:sz w:val="28"/>
          <w:szCs w:val="28"/>
        </w:rPr>
        <w:t xml:space="preserve"> - </w:t>
      </w:r>
      <w:r w:rsidR="00F04160" w:rsidRPr="00892B31">
        <w:rPr>
          <w:rFonts w:ascii="Aptos" w:eastAsia="Calibri" w:hAnsi="Aptos" w:cs="Arial"/>
          <w:sz w:val="28"/>
          <w:szCs w:val="28"/>
        </w:rPr>
        <w:t>is neither fair nor reasonable. A process that announces a major revenue-increasing determination before stakeholders can examine the evidence or propose alternatives cannot be reconciled with the Commission's statutory duty to protect consumer interests and ensure reasonable prices.</w:t>
      </w:r>
    </w:p>
    <w:p w14:paraId="488DA929" w14:textId="77777777" w:rsidR="00816B5D" w:rsidRPr="00892B31" w:rsidRDefault="00816B5D" w:rsidP="00816B5D">
      <w:pPr>
        <w:pStyle w:val="ListParagraph"/>
        <w:spacing w:after="0" w:line="259" w:lineRule="auto"/>
        <w:jc w:val="both"/>
        <w:rPr>
          <w:rFonts w:ascii="Aptos" w:eastAsia="Calibri" w:hAnsi="Aptos" w:cs="Arial"/>
          <w:sz w:val="28"/>
          <w:szCs w:val="28"/>
        </w:rPr>
      </w:pPr>
    </w:p>
    <w:p w14:paraId="65876AED" w14:textId="77777777" w:rsidR="00816B5D" w:rsidRPr="00892B31" w:rsidRDefault="00F04160" w:rsidP="000A3860">
      <w:pPr>
        <w:pStyle w:val="ListParagraph"/>
        <w:numPr>
          <w:ilvl w:val="0"/>
          <w:numId w:val="16"/>
        </w:numPr>
        <w:spacing w:after="0" w:line="259" w:lineRule="auto"/>
        <w:jc w:val="both"/>
        <w:rPr>
          <w:rFonts w:ascii="Aptos" w:eastAsia="Calibri" w:hAnsi="Aptos" w:cs="Arial"/>
          <w:sz w:val="28"/>
          <w:szCs w:val="28"/>
        </w:rPr>
      </w:pPr>
      <w:r w:rsidRPr="00892B31">
        <w:rPr>
          <w:rFonts w:ascii="Aptos" w:eastAsia="Calibri" w:hAnsi="Aptos" w:cs="Arial"/>
          <w:sz w:val="28"/>
          <w:szCs w:val="28"/>
        </w:rPr>
        <w:t xml:space="preserve">The Electricity Act establishes specific requirements for electricity pricing that the Commission must apply in tariff determinations. </w:t>
      </w:r>
      <w:r w:rsidR="00577C6E" w:rsidRPr="00892B31">
        <w:rPr>
          <w:rFonts w:ascii="Aptos" w:eastAsia="Calibri" w:hAnsi="Aptos" w:cs="Arial"/>
          <w:i/>
          <w:sz w:val="28"/>
          <w:szCs w:val="28"/>
        </w:rPr>
        <w:t>Section 11 requires licensees to operate in an efficient and economical manner</w:t>
      </w:r>
      <w:r w:rsidRPr="00892B31">
        <w:rPr>
          <w:rFonts w:ascii="Aptos" w:eastAsia="Calibri" w:hAnsi="Aptos" w:cs="Arial"/>
          <w:sz w:val="28"/>
          <w:szCs w:val="28"/>
        </w:rPr>
        <w:t>. EFL’s reliance on expensive diesel (costing $211 million in 2024) while its solar generation actually decreased to just 0.07% of its mix indicates a system that is fundamentally uneconomical. A determination that has not tested whether proposed costs are efficient or whether lower-cost alternatives exist cannot satisfy the statutory requirement that charges reflect only efficient costs. Failure to require demonstration that capital expenditures are prudent and necessary before allowing consumer recovery departs from the Act's pricing principles.</w:t>
      </w:r>
    </w:p>
    <w:p w14:paraId="171DEAF4" w14:textId="77777777" w:rsidR="00816B5D" w:rsidRPr="00892B31" w:rsidRDefault="00816B5D" w:rsidP="00816B5D">
      <w:pPr>
        <w:pStyle w:val="ListParagraph"/>
        <w:rPr>
          <w:rFonts w:ascii="Aptos" w:hAnsi="Aptos"/>
          <w:sz w:val="28"/>
          <w:szCs w:val="28"/>
        </w:rPr>
      </w:pPr>
    </w:p>
    <w:p w14:paraId="4A192CC5" w14:textId="6B04944C" w:rsidR="00816B5D" w:rsidRPr="00892B31" w:rsidRDefault="00B771E4" w:rsidP="00892B31">
      <w:pPr>
        <w:pStyle w:val="ListParagraph"/>
        <w:numPr>
          <w:ilvl w:val="0"/>
          <w:numId w:val="16"/>
        </w:numPr>
        <w:spacing w:after="0" w:line="259" w:lineRule="auto"/>
        <w:jc w:val="both"/>
        <w:rPr>
          <w:rFonts w:ascii="Aptos" w:eastAsia="Calibri" w:hAnsi="Aptos" w:cs="Arial"/>
          <w:sz w:val="28"/>
          <w:szCs w:val="28"/>
        </w:rPr>
      </w:pPr>
      <w:r w:rsidRPr="00892B31">
        <w:rPr>
          <w:rFonts w:ascii="Aptos" w:hAnsi="Aptos"/>
          <w:sz w:val="28"/>
          <w:szCs w:val="28"/>
        </w:rPr>
        <w:lastRenderedPageBreak/>
        <w:t>The World Bank's Global Electricity Regulatory Index (GERI) measures electricity regulators on transparency, accountability, and public consultation. Top-performing regulators require stakeholder input and full disclosure before final tariff decisions. The World Bank's tariff-setting guidelines</w:t>
      </w:r>
      <w:r w:rsidR="00FF68D3" w:rsidRPr="00892B31">
        <w:rPr>
          <w:rFonts w:ascii="Aptos" w:hAnsi="Aptos"/>
          <w:sz w:val="28"/>
          <w:szCs w:val="28"/>
        </w:rPr>
        <w:t xml:space="preserve"> under Public-Private Infrastructure Advisory Facility</w:t>
      </w:r>
      <w:r w:rsidRPr="00892B31">
        <w:rPr>
          <w:rFonts w:ascii="Aptos" w:hAnsi="Aptos"/>
          <w:sz w:val="28"/>
          <w:szCs w:val="28"/>
        </w:rPr>
        <w:t xml:space="preserve"> (PPIAF) specifically warn that post-decision or rushed processes create perceptions of bias and fail fairness standards. The Commission's process in this case would fail GERI transparency and consultation criteria.</w:t>
      </w:r>
    </w:p>
    <w:p w14:paraId="7DA2A7A2" w14:textId="29BA1C20" w:rsidR="00816B5D" w:rsidRDefault="00B771E4" w:rsidP="00892B31">
      <w:pPr>
        <w:pStyle w:val="Heading1"/>
        <w:rPr>
          <w:rFonts w:ascii="Aptos" w:hAnsi="Aptos"/>
          <w:color w:val="000000"/>
        </w:rPr>
      </w:pPr>
      <w:r w:rsidRPr="00892B31">
        <w:rPr>
          <w:rFonts w:ascii="Aptos" w:hAnsi="Aptos"/>
          <w:color w:val="000000"/>
        </w:rPr>
        <w:t xml:space="preserve">2. </w:t>
      </w:r>
      <w:r w:rsidR="00FF68D3" w:rsidRPr="00892B31">
        <w:rPr>
          <w:rFonts w:ascii="Aptos" w:hAnsi="Aptos"/>
          <w:color w:val="000000"/>
        </w:rPr>
        <w:t>PROCEDURAL INVALIDITY AND INFORMATION ASYMMETRY</w:t>
      </w:r>
    </w:p>
    <w:p w14:paraId="2C34A597" w14:textId="77777777" w:rsidR="00892B31" w:rsidRPr="00892B31" w:rsidRDefault="00892B31" w:rsidP="00892B31"/>
    <w:p w14:paraId="4755F69A" w14:textId="77777777" w:rsidR="00816B5D" w:rsidRPr="00892B31" w:rsidRDefault="00FF68D3" w:rsidP="00B9465F">
      <w:pPr>
        <w:pStyle w:val="ListParagraph"/>
        <w:numPr>
          <w:ilvl w:val="0"/>
          <w:numId w:val="17"/>
        </w:numPr>
        <w:jc w:val="both"/>
        <w:rPr>
          <w:rFonts w:ascii="Aptos" w:hAnsi="Aptos"/>
          <w:sz w:val="28"/>
          <w:szCs w:val="28"/>
        </w:rPr>
      </w:pPr>
      <w:r w:rsidRPr="00892B31">
        <w:rPr>
          <w:rFonts w:ascii="Aptos" w:hAnsi="Aptos"/>
          <w:sz w:val="28"/>
          <w:szCs w:val="28"/>
        </w:rPr>
        <w:t>The determination of 19 December 2025 is procedurally flawed. Announcing an approval before conducting stakeholder consultation is a breach of natural justice. The Commission has failed to reconcile the $1.2 billion received from the 2018 partial</w:t>
      </w:r>
      <w:r w:rsidRPr="00892B31">
        <w:rPr>
          <w:rFonts w:ascii="Aptos" w:hAnsi="Aptos"/>
          <w:sz w:val="28"/>
          <w:szCs w:val="28"/>
          <w:lang w:val="en-GB"/>
        </w:rPr>
        <w:t xml:space="preserve"> privatisation</w:t>
      </w:r>
      <w:r w:rsidRPr="00892B31">
        <w:rPr>
          <w:rFonts w:ascii="Aptos" w:hAnsi="Aptos"/>
          <w:sz w:val="28"/>
          <w:szCs w:val="28"/>
        </w:rPr>
        <w:t>. Stakeholders have a right to know if these proceeds were reinvested into infrastructure or diverted to the government’s consolidated fund. If diverted, consumers are being asked to "re-pay" for capital needs already covered by the sale of their national asset.</w:t>
      </w:r>
    </w:p>
    <w:p w14:paraId="4D884674" w14:textId="77777777" w:rsidR="00816B5D" w:rsidRPr="00892B31" w:rsidRDefault="00816B5D" w:rsidP="00816B5D">
      <w:pPr>
        <w:pStyle w:val="ListParagraph"/>
        <w:jc w:val="both"/>
        <w:rPr>
          <w:rFonts w:ascii="Aptos" w:hAnsi="Aptos"/>
          <w:sz w:val="28"/>
          <w:szCs w:val="28"/>
        </w:rPr>
      </w:pPr>
    </w:p>
    <w:p w14:paraId="7832EC1D" w14:textId="77777777" w:rsidR="00816B5D" w:rsidRPr="00892B31" w:rsidRDefault="00B9465F" w:rsidP="00FF68D3">
      <w:pPr>
        <w:pStyle w:val="ListParagraph"/>
        <w:numPr>
          <w:ilvl w:val="0"/>
          <w:numId w:val="17"/>
        </w:numPr>
        <w:jc w:val="both"/>
        <w:rPr>
          <w:rFonts w:ascii="Aptos" w:hAnsi="Aptos"/>
          <w:sz w:val="28"/>
          <w:szCs w:val="28"/>
        </w:rPr>
      </w:pPr>
      <w:r w:rsidRPr="00892B31">
        <w:rPr>
          <w:rFonts w:ascii="Aptos" w:hAnsi="Aptos"/>
          <w:sz w:val="28"/>
          <w:szCs w:val="28"/>
        </w:rPr>
        <w:t>Although the Commission suspended implementation of the 19 December 2025 determination on 29–30 December 2025 and opened a 21-day consultation in response to public and stakeholder backlash, this retrospective and compressed process - conducted over the Christmas/New Year holiday period without prior disclosure of EFL's complete application - cannot remedy the fundamental defects of predetermination, apparent bias, or evidentiary gaps arising from announcing approval before any stakeholder input. Genuine consultation for a determination of this magnitude requires meaningful opportunity for influence from the outset, not post-hoc validation of a decision already reached.</w:t>
      </w:r>
    </w:p>
    <w:p w14:paraId="549919AF" w14:textId="77777777" w:rsidR="00816B5D" w:rsidRPr="00892B31" w:rsidRDefault="00816B5D" w:rsidP="00816B5D">
      <w:pPr>
        <w:pStyle w:val="ListParagraph"/>
        <w:rPr>
          <w:rFonts w:ascii="Aptos" w:hAnsi="Aptos"/>
          <w:sz w:val="28"/>
          <w:szCs w:val="28"/>
        </w:rPr>
      </w:pPr>
    </w:p>
    <w:p w14:paraId="459C8534" w14:textId="77777777" w:rsidR="00816B5D" w:rsidRPr="00892B31" w:rsidRDefault="00B771E4" w:rsidP="00FF68D3">
      <w:pPr>
        <w:pStyle w:val="ListParagraph"/>
        <w:numPr>
          <w:ilvl w:val="0"/>
          <w:numId w:val="17"/>
        </w:numPr>
        <w:jc w:val="both"/>
        <w:rPr>
          <w:rFonts w:ascii="Aptos" w:hAnsi="Aptos"/>
          <w:sz w:val="28"/>
          <w:szCs w:val="28"/>
        </w:rPr>
      </w:pPr>
      <w:r w:rsidRPr="00892B31">
        <w:rPr>
          <w:rFonts w:ascii="Aptos" w:hAnsi="Aptos"/>
          <w:sz w:val="28"/>
          <w:szCs w:val="28"/>
        </w:rPr>
        <w:lastRenderedPageBreak/>
        <w:t>The Commission had seven months to conduct consultation between receiving EFL's application in May 2025 and announcing its determination in December 2025. It chose not to do so. This was not an oversight caused by time pressure</w:t>
      </w:r>
      <w:r w:rsidR="0065595D" w:rsidRPr="00892B31">
        <w:rPr>
          <w:rFonts w:ascii="Aptos" w:hAnsi="Aptos"/>
          <w:sz w:val="28"/>
          <w:szCs w:val="28"/>
        </w:rPr>
        <w:t xml:space="preserve"> - </w:t>
      </w:r>
      <w:r w:rsidRPr="00892B31">
        <w:rPr>
          <w:rFonts w:ascii="Aptos" w:hAnsi="Aptos"/>
          <w:sz w:val="28"/>
          <w:szCs w:val="28"/>
        </w:rPr>
        <w:t>it was a deliberate process design that excluded stakeholders until after the decision was made.</w:t>
      </w:r>
    </w:p>
    <w:p w14:paraId="20AEF3B5" w14:textId="77777777" w:rsidR="00816B5D" w:rsidRPr="00892B31" w:rsidRDefault="00816B5D" w:rsidP="00816B5D">
      <w:pPr>
        <w:pStyle w:val="ListParagraph"/>
        <w:rPr>
          <w:rFonts w:ascii="Aptos" w:hAnsi="Aptos"/>
          <w:sz w:val="28"/>
          <w:szCs w:val="28"/>
        </w:rPr>
      </w:pPr>
    </w:p>
    <w:p w14:paraId="14FA6CC6" w14:textId="1DE24DAD" w:rsidR="00816B5D" w:rsidRPr="00892B31" w:rsidRDefault="00B771E4" w:rsidP="000A3860">
      <w:pPr>
        <w:pStyle w:val="ListParagraph"/>
        <w:numPr>
          <w:ilvl w:val="0"/>
          <w:numId w:val="17"/>
        </w:numPr>
        <w:jc w:val="both"/>
        <w:rPr>
          <w:rFonts w:ascii="Aptos" w:hAnsi="Aptos"/>
          <w:sz w:val="28"/>
          <w:szCs w:val="28"/>
        </w:rPr>
      </w:pPr>
      <w:r w:rsidRPr="00892B31">
        <w:rPr>
          <w:rFonts w:ascii="Aptos" w:hAnsi="Aptos"/>
          <w:sz w:val="28"/>
          <w:szCs w:val="28"/>
        </w:rPr>
        <w:t>Beyond procedural timing, the quality of consultations conducted has been questioned. Public statements indicate that consultation sessions were characterized as information provision rather than genuine engagement. A consultation process where people are told what will happen rather than having their views genuinely heard is not consultation</w:t>
      </w:r>
      <w:r w:rsidR="0065595D" w:rsidRPr="00892B31">
        <w:rPr>
          <w:rFonts w:ascii="Aptos" w:hAnsi="Aptos"/>
          <w:sz w:val="28"/>
          <w:szCs w:val="28"/>
        </w:rPr>
        <w:t xml:space="preserve"> - </w:t>
      </w:r>
      <w:r w:rsidRPr="00892B31">
        <w:rPr>
          <w:rFonts w:ascii="Aptos" w:hAnsi="Aptos"/>
          <w:sz w:val="28"/>
          <w:szCs w:val="28"/>
        </w:rPr>
        <w:t>it is announcement.</w:t>
      </w:r>
    </w:p>
    <w:p w14:paraId="662BA4D8" w14:textId="77777777" w:rsidR="00816B5D" w:rsidRPr="00892B31" w:rsidRDefault="00816B5D" w:rsidP="00816B5D">
      <w:pPr>
        <w:pStyle w:val="ListParagraph"/>
        <w:rPr>
          <w:rFonts w:ascii="Aptos" w:hAnsi="Aptos"/>
          <w:sz w:val="28"/>
          <w:szCs w:val="28"/>
        </w:rPr>
      </w:pPr>
    </w:p>
    <w:p w14:paraId="5D5802EF" w14:textId="62407FAC" w:rsidR="000E7707" w:rsidRPr="00892B31" w:rsidRDefault="00B771E4" w:rsidP="00892B31">
      <w:pPr>
        <w:pStyle w:val="ListParagraph"/>
        <w:numPr>
          <w:ilvl w:val="0"/>
          <w:numId w:val="17"/>
        </w:numPr>
        <w:jc w:val="both"/>
        <w:rPr>
          <w:rFonts w:ascii="Aptos" w:hAnsi="Aptos"/>
          <w:sz w:val="28"/>
          <w:szCs w:val="28"/>
        </w:rPr>
      </w:pPr>
      <w:r w:rsidRPr="00892B31">
        <w:rPr>
          <w:rFonts w:ascii="Aptos" w:hAnsi="Aptos"/>
          <w:sz w:val="28"/>
          <w:szCs w:val="28"/>
        </w:rPr>
        <w:t xml:space="preserve">The Commission has not published EFL's complete tariff application. Stakeholders do not have access to EFL's demand forecasts, cost estimates, financing assumptions, generation expansion plans, or the technical analyses that purportedly support the FJD 2.21 billion revenue requirement. This </w:t>
      </w:r>
      <w:r w:rsidR="00463F38" w:rsidRPr="00892B31">
        <w:rPr>
          <w:rFonts w:ascii="Aptos" w:hAnsi="Aptos"/>
          <w:sz w:val="28"/>
          <w:szCs w:val="28"/>
        </w:rPr>
        <w:t>lack of disclosure</w:t>
      </w:r>
      <w:r w:rsidRPr="00892B31">
        <w:rPr>
          <w:rFonts w:ascii="Aptos" w:hAnsi="Aptos"/>
          <w:sz w:val="28"/>
          <w:szCs w:val="28"/>
        </w:rPr>
        <w:t xml:space="preserve"> prevents stakeholders from assessing whether costs are efficient, whether alternatives exist, or whether the Commission's reasoning is sound.</w:t>
      </w:r>
    </w:p>
    <w:p w14:paraId="30E789EC" w14:textId="77777777" w:rsidR="00AA2148" w:rsidRPr="00892B31" w:rsidRDefault="00B771E4">
      <w:pPr>
        <w:pStyle w:val="Heading1"/>
        <w:rPr>
          <w:rFonts w:ascii="Aptos" w:hAnsi="Aptos"/>
        </w:rPr>
      </w:pPr>
      <w:r w:rsidRPr="00892B31">
        <w:rPr>
          <w:rFonts w:ascii="Aptos" w:hAnsi="Aptos"/>
          <w:color w:val="000000"/>
        </w:rPr>
        <w:t>3. FINANCIAL CAPACITY: SHAREHOLDER RESOURCES NOT EXHAUSTED</w:t>
      </w:r>
    </w:p>
    <w:p w14:paraId="3DEB800B" w14:textId="77777777" w:rsidR="000E7707" w:rsidRPr="00892B31" w:rsidRDefault="000E7707" w:rsidP="000E7707">
      <w:pPr>
        <w:jc w:val="both"/>
        <w:rPr>
          <w:rFonts w:ascii="Aptos" w:hAnsi="Aptos"/>
          <w:sz w:val="28"/>
          <w:szCs w:val="28"/>
        </w:rPr>
      </w:pPr>
    </w:p>
    <w:p w14:paraId="0865689D" w14:textId="77777777" w:rsidR="000E7707" w:rsidRPr="00892B31" w:rsidRDefault="00B771E4" w:rsidP="000E7707">
      <w:pPr>
        <w:pStyle w:val="ListParagraph"/>
        <w:numPr>
          <w:ilvl w:val="0"/>
          <w:numId w:val="18"/>
        </w:numPr>
        <w:jc w:val="both"/>
        <w:rPr>
          <w:rFonts w:ascii="Aptos" w:hAnsi="Aptos"/>
          <w:sz w:val="28"/>
          <w:szCs w:val="28"/>
        </w:rPr>
      </w:pPr>
      <w:r w:rsidRPr="00892B31">
        <w:rPr>
          <w:rFonts w:ascii="Aptos" w:hAnsi="Aptos"/>
          <w:sz w:val="28"/>
          <w:szCs w:val="28"/>
        </w:rPr>
        <w:t>The fundamental principle of utility regulation is that consumers should not bear costs that shareholders can and should absorb. This principle exists because regulated monopolies have captive customers who cannot choose alternative suppliers. The regulatory framework protects these captive customers by ensuring that shareholder resources are exhausted before consumer extraction is permitted.</w:t>
      </w:r>
    </w:p>
    <w:p w14:paraId="638EA14E" w14:textId="77777777" w:rsidR="000E7707" w:rsidRPr="00892B31" w:rsidRDefault="000E7707" w:rsidP="000E7707">
      <w:pPr>
        <w:pStyle w:val="ListParagraph"/>
        <w:jc w:val="both"/>
        <w:rPr>
          <w:rFonts w:ascii="Aptos" w:hAnsi="Aptos"/>
          <w:sz w:val="28"/>
          <w:szCs w:val="28"/>
        </w:rPr>
      </w:pPr>
    </w:p>
    <w:p w14:paraId="1E7354E5" w14:textId="77777777" w:rsidR="000E7707" w:rsidRPr="00892B31" w:rsidRDefault="00B771E4" w:rsidP="00813670">
      <w:pPr>
        <w:pStyle w:val="ListParagraph"/>
        <w:numPr>
          <w:ilvl w:val="0"/>
          <w:numId w:val="18"/>
        </w:numPr>
        <w:jc w:val="both"/>
        <w:rPr>
          <w:rFonts w:ascii="Aptos" w:hAnsi="Aptos"/>
          <w:sz w:val="28"/>
          <w:szCs w:val="28"/>
        </w:rPr>
      </w:pPr>
      <w:r w:rsidRPr="00892B31">
        <w:rPr>
          <w:rFonts w:ascii="Aptos" w:hAnsi="Aptos"/>
          <w:sz w:val="28"/>
          <w:szCs w:val="28"/>
        </w:rPr>
        <w:t xml:space="preserve">EFL's dividend history demonstrates that shareholders have received substantial returns during the very period when accelerated investment was allegedly required. The 2023 dividend decision is particularly striking: FJD 41 million was distributed to shareholders despite </w:t>
      </w:r>
      <w:proofErr w:type="gramStart"/>
      <w:r w:rsidRPr="00892B31">
        <w:rPr>
          <w:rFonts w:ascii="Aptos" w:hAnsi="Aptos"/>
          <w:sz w:val="28"/>
          <w:szCs w:val="28"/>
        </w:rPr>
        <w:t>a</w:t>
      </w:r>
      <w:proofErr w:type="gramEnd"/>
      <w:r w:rsidRPr="00892B31">
        <w:rPr>
          <w:rFonts w:ascii="Aptos" w:hAnsi="Aptos"/>
          <w:sz w:val="28"/>
          <w:szCs w:val="28"/>
        </w:rPr>
        <w:t xml:space="preserve"> FJD 28 million loss. This demonstrates a pattern of prioritizing shareholder returns over capital retention. A company that pays dividends exceeding its profits while simultaneously claiming that consumers must fund urgent capital expenditure exhibits inconsistent priorities that warrant regulatory scrutiny.</w:t>
      </w:r>
    </w:p>
    <w:p w14:paraId="498C8A6D" w14:textId="77777777" w:rsidR="000E7707" w:rsidRPr="00892B31" w:rsidRDefault="000E7707" w:rsidP="000E7707">
      <w:pPr>
        <w:pStyle w:val="ListParagraph"/>
        <w:rPr>
          <w:rFonts w:ascii="Aptos" w:hAnsi="Aptos"/>
          <w:sz w:val="28"/>
          <w:szCs w:val="28"/>
        </w:rPr>
      </w:pPr>
    </w:p>
    <w:p w14:paraId="4147248B" w14:textId="77777777" w:rsidR="000E7707" w:rsidRPr="00892B31" w:rsidRDefault="00B771E4" w:rsidP="00813670">
      <w:pPr>
        <w:pStyle w:val="ListParagraph"/>
        <w:numPr>
          <w:ilvl w:val="0"/>
          <w:numId w:val="18"/>
        </w:numPr>
        <w:jc w:val="both"/>
        <w:rPr>
          <w:rFonts w:ascii="Aptos" w:hAnsi="Aptos"/>
          <w:sz w:val="28"/>
          <w:szCs w:val="28"/>
        </w:rPr>
      </w:pPr>
      <w:r w:rsidRPr="00892B31">
        <w:rPr>
          <w:rFonts w:ascii="Aptos" w:hAnsi="Aptos"/>
          <w:sz w:val="28"/>
          <w:szCs w:val="28"/>
        </w:rPr>
        <w:t>EFL's gearing ratio has remained extremely low throughout the period 2019-2024, ranging from 8% to 26%. This demonstrates substantial untapped borrowing capacity</w:t>
      </w:r>
      <w:r w:rsidR="00813670" w:rsidRPr="00892B31">
        <w:rPr>
          <w:rFonts w:ascii="Aptos" w:hAnsi="Aptos"/>
          <w:sz w:val="28"/>
          <w:szCs w:val="28"/>
        </w:rPr>
        <w:t xml:space="preserve"> - </w:t>
      </w:r>
      <w:r w:rsidRPr="00892B31">
        <w:rPr>
          <w:rFonts w:ascii="Aptos" w:hAnsi="Aptos"/>
          <w:sz w:val="28"/>
          <w:szCs w:val="28"/>
        </w:rPr>
        <w:t>capacity that should be utilized before consumer extraction is permitted.</w:t>
      </w:r>
    </w:p>
    <w:p w14:paraId="6151C688" w14:textId="77777777" w:rsidR="000E7707" w:rsidRPr="00892B31" w:rsidRDefault="000E7707" w:rsidP="000E7707">
      <w:pPr>
        <w:pStyle w:val="ListParagraph"/>
        <w:rPr>
          <w:rFonts w:ascii="Aptos" w:hAnsi="Aptos"/>
          <w:b/>
          <w:sz w:val="28"/>
          <w:szCs w:val="28"/>
        </w:rPr>
      </w:pPr>
    </w:p>
    <w:p w14:paraId="2494CD4F" w14:textId="77777777" w:rsidR="000E7707" w:rsidRPr="00892B31" w:rsidRDefault="00B771E4" w:rsidP="009F5666">
      <w:pPr>
        <w:pStyle w:val="ListParagraph"/>
        <w:numPr>
          <w:ilvl w:val="0"/>
          <w:numId w:val="18"/>
        </w:numPr>
        <w:jc w:val="both"/>
        <w:rPr>
          <w:rFonts w:ascii="Aptos" w:hAnsi="Aptos"/>
          <w:sz w:val="28"/>
          <w:szCs w:val="28"/>
        </w:rPr>
      </w:pPr>
      <w:r w:rsidRPr="00892B31">
        <w:rPr>
          <w:rFonts w:ascii="Aptos" w:hAnsi="Aptos"/>
          <w:b/>
          <w:sz w:val="28"/>
          <w:szCs w:val="28"/>
        </w:rPr>
        <w:t xml:space="preserve">EFL's </w:t>
      </w:r>
      <w:r w:rsidR="00813670" w:rsidRPr="00892B31">
        <w:rPr>
          <w:rFonts w:ascii="Aptos" w:hAnsi="Aptos"/>
          <w:b/>
          <w:sz w:val="28"/>
          <w:szCs w:val="28"/>
        </w:rPr>
        <w:t>own 2018 Annual Report states:</w:t>
      </w:r>
      <w:r w:rsidR="00813670" w:rsidRPr="00892B31">
        <w:rPr>
          <w:rFonts w:ascii="Aptos" w:hAnsi="Aptos"/>
          <w:sz w:val="28"/>
          <w:szCs w:val="28"/>
        </w:rPr>
        <w:t xml:space="preserve"> </w:t>
      </w:r>
      <w:r w:rsidR="00813670" w:rsidRPr="00892B31">
        <w:rPr>
          <w:rFonts w:ascii="Aptos" w:hAnsi="Aptos"/>
          <w:i/>
          <w:sz w:val="28"/>
          <w:szCs w:val="28"/>
        </w:rPr>
        <w:t>“</w:t>
      </w:r>
      <w:r w:rsidRPr="00892B31">
        <w:rPr>
          <w:rFonts w:ascii="Aptos" w:hAnsi="Aptos"/>
          <w:i/>
          <w:sz w:val="28"/>
          <w:szCs w:val="28"/>
        </w:rPr>
        <w:t>Throughout the determination of the various sources and levels of investment, EFL will remain mindful that all borrowings to fund capital project must not e</w:t>
      </w:r>
      <w:r w:rsidR="00813670" w:rsidRPr="00892B31">
        <w:rPr>
          <w:rFonts w:ascii="Aptos" w:hAnsi="Aptos"/>
          <w:i/>
          <w:sz w:val="28"/>
          <w:szCs w:val="28"/>
        </w:rPr>
        <w:t>xceed the gearing level of 45%.”</w:t>
      </w:r>
      <w:r w:rsidRPr="00892B31">
        <w:rPr>
          <w:rFonts w:ascii="Aptos" w:hAnsi="Aptos"/>
          <w:sz w:val="28"/>
          <w:szCs w:val="28"/>
        </w:rPr>
        <w:t xml:space="preserve"> Yet EFL </w:t>
      </w:r>
      <w:r w:rsidR="00813670" w:rsidRPr="00892B31">
        <w:rPr>
          <w:rFonts w:ascii="Aptos" w:hAnsi="Aptos"/>
          <w:sz w:val="28"/>
          <w:szCs w:val="28"/>
        </w:rPr>
        <w:t xml:space="preserve">has maintained gearing at 8-26% - </w:t>
      </w:r>
      <w:r w:rsidRPr="00892B31">
        <w:rPr>
          <w:rFonts w:ascii="Aptos" w:hAnsi="Aptos"/>
          <w:sz w:val="28"/>
          <w:szCs w:val="28"/>
        </w:rPr>
        <w:t>well below even its own stated threshold</w:t>
      </w:r>
      <w:r w:rsidR="00813670" w:rsidRPr="00892B31">
        <w:rPr>
          <w:rFonts w:ascii="Aptos" w:hAnsi="Aptos"/>
          <w:sz w:val="28"/>
          <w:szCs w:val="28"/>
        </w:rPr>
        <w:t xml:space="preserve"> - </w:t>
      </w:r>
      <w:r w:rsidRPr="00892B31">
        <w:rPr>
          <w:rFonts w:ascii="Aptos" w:hAnsi="Aptos"/>
          <w:sz w:val="28"/>
          <w:szCs w:val="28"/>
        </w:rPr>
        <w:t>while seeking consumer-funded capital recovery.</w:t>
      </w:r>
    </w:p>
    <w:p w14:paraId="7B9504D2" w14:textId="77777777" w:rsidR="000E7707" w:rsidRPr="00892B31" w:rsidRDefault="000E7707" w:rsidP="000E7707">
      <w:pPr>
        <w:pStyle w:val="ListParagraph"/>
        <w:rPr>
          <w:rFonts w:ascii="Aptos" w:hAnsi="Aptos"/>
          <w:sz w:val="28"/>
          <w:szCs w:val="28"/>
        </w:rPr>
      </w:pPr>
    </w:p>
    <w:p w14:paraId="31BC5B23" w14:textId="77777777" w:rsidR="000E7707" w:rsidRPr="00892B31" w:rsidRDefault="00B771E4" w:rsidP="009F5666">
      <w:pPr>
        <w:pStyle w:val="ListParagraph"/>
        <w:numPr>
          <w:ilvl w:val="0"/>
          <w:numId w:val="18"/>
        </w:numPr>
        <w:jc w:val="both"/>
        <w:rPr>
          <w:rFonts w:ascii="Aptos" w:hAnsi="Aptos"/>
          <w:sz w:val="28"/>
          <w:szCs w:val="28"/>
        </w:rPr>
      </w:pPr>
      <w:r w:rsidRPr="00892B31">
        <w:rPr>
          <w:rFonts w:ascii="Aptos" w:hAnsi="Aptos"/>
          <w:sz w:val="28"/>
          <w:szCs w:val="28"/>
        </w:rPr>
        <w:t>The untapped borrowing capacity at industry-norm gearing of 60% would provide FJD 250-350 million in additional financing</w:t>
      </w:r>
      <w:r w:rsidR="009F5666" w:rsidRPr="00892B31">
        <w:rPr>
          <w:rFonts w:ascii="Aptos" w:hAnsi="Aptos"/>
          <w:sz w:val="28"/>
          <w:szCs w:val="28"/>
        </w:rPr>
        <w:t xml:space="preserve"> - </w:t>
      </w:r>
      <w:r w:rsidRPr="00892B31">
        <w:rPr>
          <w:rFonts w:ascii="Aptos" w:hAnsi="Aptos"/>
          <w:sz w:val="28"/>
          <w:szCs w:val="28"/>
        </w:rPr>
        <w:t>a substantial portion of the claimed capital requirement</w:t>
      </w:r>
      <w:r w:rsidR="009F5666" w:rsidRPr="00892B31">
        <w:rPr>
          <w:rFonts w:ascii="Aptos" w:hAnsi="Aptos"/>
          <w:sz w:val="28"/>
          <w:szCs w:val="28"/>
        </w:rPr>
        <w:t xml:space="preserve"> - </w:t>
      </w:r>
      <w:r w:rsidRPr="00892B31">
        <w:rPr>
          <w:rFonts w:ascii="Aptos" w:hAnsi="Aptos"/>
          <w:sz w:val="28"/>
          <w:szCs w:val="28"/>
        </w:rPr>
        <w:t>without any consumer tariff increase.</w:t>
      </w:r>
    </w:p>
    <w:p w14:paraId="22012622" w14:textId="77777777" w:rsidR="000E7707" w:rsidRPr="00892B31" w:rsidRDefault="000E7707" w:rsidP="000E7707">
      <w:pPr>
        <w:pStyle w:val="ListParagraph"/>
        <w:rPr>
          <w:rFonts w:ascii="Aptos" w:hAnsi="Aptos"/>
          <w:sz w:val="28"/>
          <w:szCs w:val="28"/>
        </w:rPr>
      </w:pPr>
    </w:p>
    <w:p w14:paraId="550A240A" w14:textId="5D200DC0" w:rsidR="00AA2148" w:rsidRPr="00892B31" w:rsidRDefault="00B771E4" w:rsidP="009F5666">
      <w:pPr>
        <w:pStyle w:val="ListParagraph"/>
        <w:numPr>
          <w:ilvl w:val="0"/>
          <w:numId w:val="18"/>
        </w:numPr>
        <w:jc w:val="both"/>
        <w:rPr>
          <w:rFonts w:ascii="Aptos" w:hAnsi="Aptos"/>
          <w:sz w:val="28"/>
          <w:szCs w:val="28"/>
        </w:rPr>
      </w:pPr>
      <w:r w:rsidRPr="00892B31">
        <w:rPr>
          <w:rFonts w:ascii="Aptos" w:hAnsi="Aptos"/>
          <w:sz w:val="28"/>
          <w:szCs w:val="28"/>
        </w:rPr>
        <w:t>EFL holds substantial customer security deposits that provide interest-free financing from consumers. These deposits</w:t>
      </w:r>
      <w:r w:rsidR="009F5666" w:rsidRPr="00892B31">
        <w:rPr>
          <w:rFonts w:ascii="Aptos" w:hAnsi="Aptos"/>
          <w:sz w:val="28"/>
          <w:szCs w:val="28"/>
        </w:rPr>
        <w:t xml:space="preserve"> - </w:t>
      </w:r>
      <w:r w:rsidRPr="00892B31">
        <w:rPr>
          <w:rFonts w:ascii="Aptos" w:hAnsi="Aptos"/>
          <w:sz w:val="28"/>
          <w:szCs w:val="28"/>
        </w:rPr>
        <w:t>FJD 31.2 million in 2024 and FJD 28.9 million in 2023</w:t>
      </w:r>
      <w:r w:rsidR="009F5666" w:rsidRPr="00892B31">
        <w:rPr>
          <w:rFonts w:ascii="Aptos" w:hAnsi="Aptos"/>
          <w:sz w:val="28"/>
          <w:szCs w:val="28"/>
        </w:rPr>
        <w:t xml:space="preserve"> - </w:t>
      </w:r>
      <w:r w:rsidRPr="00892B31">
        <w:rPr>
          <w:rFonts w:ascii="Aptos" w:hAnsi="Aptos"/>
          <w:sz w:val="28"/>
          <w:szCs w:val="28"/>
        </w:rPr>
        <w:t xml:space="preserve">represent another source of capital that consumers have already provided to EFL </w:t>
      </w:r>
      <w:r w:rsidRPr="00892B31">
        <w:rPr>
          <w:rFonts w:ascii="Aptos" w:hAnsi="Aptos"/>
          <w:sz w:val="28"/>
          <w:szCs w:val="28"/>
        </w:rPr>
        <w:lastRenderedPageBreak/>
        <w:t>before any tariff determination. The pattern of using customer deposits as low-cost working capital while simultaneously claiming that consumers must fund capital expenditure through tariff increases warrants scrutiny.</w:t>
      </w:r>
    </w:p>
    <w:p w14:paraId="22FFCAED" w14:textId="77777777" w:rsidR="00AA2148" w:rsidRPr="00892B31" w:rsidRDefault="00B771E4">
      <w:pPr>
        <w:pStyle w:val="Heading1"/>
        <w:rPr>
          <w:rFonts w:ascii="Aptos" w:hAnsi="Aptos"/>
        </w:rPr>
      </w:pPr>
      <w:r w:rsidRPr="00892B31">
        <w:rPr>
          <w:rFonts w:ascii="Aptos" w:hAnsi="Aptos"/>
          <w:color w:val="000000"/>
        </w:rPr>
        <w:t>4. STRATEGIC FAILURE: SOLAR AND IPP UNDER-DEPLOYMENT</w:t>
      </w:r>
    </w:p>
    <w:p w14:paraId="6ED562A9" w14:textId="77777777" w:rsidR="000E7707" w:rsidRPr="00892B31" w:rsidRDefault="000E7707" w:rsidP="009F5666">
      <w:pPr>
        <w:jc w:val="both"/>
        <w:rPr>
          <w:rFonts w:ascii="Aptos" w:hAnsi="Aptos"/>
          <w:sz w:val="28"/>
          <w:szCs w:val="28"/>
        </w:rPr>
      </w:pPr>
    </w:p>
    <w:p w14:paraId="0FF2A7DC" w14:textId="6B1E513A" w:rsidR="000E7707" w:rsidRPr="00892B31" w:rsidRDefault="00B771E4" w:rsidP="000E7707">
      <w:pPr>
        <w:pStyle w:val="ListParagraph"/>
        <w:numPr>
          <w:ilvl w:val="0"/>
          <w:numId w:val="19"/>
        </w:numPr>
        <w:jc w:val="both"/>
        <w:rPr>
          <w:rFonts w:ascii="Aptos" w:hAnsi="Aptos"/>
          <w:sz w:val="28"/>
          <w:szCs w:val="28"/>
        </w:rPr>
      </w:pPr>
      <w:r w:rsidRPr="00892B31">
        <w:rPr>
          <w:rFonts w:ascii="Aptos" w:hAnsi="Aptos"/>
          <w:sz w:val="28"/>
          <w:szCs w:val="28"/>
        </w:rPr>
        <w:t>The proposed tariff increase would effectively socialize the costs of EFL's strategic failures—particularly its prolonged delay in deploying solar photovoltaic generation despite dramatic global cost declines—to consumers who had no role in making those decisions. This outcome is inconsistent with the Electricity Act's objective of promoting an efficient electricity industry.</w:t>
      </w:r>
    </w:p>
    <w:p w14:paraId="4CD5282D" w14:textId="77777777" w:rsidR="000E7707" w:rsidRPr="00892B31" w:rsidRDefault="000E7707" w:rsidP="000E7707">
      <w:pPr>
        <w:pStyle w:val="ListParagraph"/>
        <w:ind w:left="1080"/>
        <w:jc w:val="both"/>
        <w:rPr>
          <w:rFonts w:ascii="Aptos" w:hAnsi="Aptos"/>
          <w:sz w:val="28"/>
          <w:szCs w:val="28"/>
        </w:rPr>
      </w:pPr>
    </w:p>
    <w:p w14:paraId="2E8B5807" w14:textId="6EBDAA8B" w:rsidR="000E7707" w:rsidRPr="00892B31" w:rsidRDefault="00B771E4" w:rsidP="000E7707">
      <w:pPr>
        <w:pStyle w:val="ListParagraph"/>
        <w:numPr>
          <w:ilvl w:val="0"/>
          <w:numId w:val="19"/>
        </w:numPr>
        <w:jc w:val="both"/>
        <w:rPr>
          <w:rFonts w:ascii="Aptos" w:hAnsi="Aptos"/>
          <w:sz w:val="28"/>
          <w:szCs w:val="28"/>
        </w:rPr>
      </w:pPr>
      <w:r w:rsidRPr="00892B31">
        <w:rPr>
          <w:rFonts w:ascii="Aptos" w:hAnsi="Aptos"/>
          <w:sz w:val="28"/>
          <w:szCs w:val="28"/>
        </w:rPr>
        <w:t>Over the past decade, utility-scale solar PV costs have declined by 85-90% globally. According to IRENA, the global weighted-average levelized cost of electricity (LCOE) from utility-scale solar PV fell from approximately USD 0.38/kWh in 2010 to USD 0.05/kWh by 2022, with further declines to approximately USD 0.04/kWh by 2024. This represents the most dramatic cost decline in energy history.</w:t>
      </w:r>
      <w:r w:rsidR="000E7707" w:rsidRPr="00892B31">
        <w:rPr>
          <w:rFonts w:ascii="Aptos" w:hAnsi="Aptos"/>
          <w:sz w:val="28"/>
          <w:szCs w:val="28"/>
        </w:rPr>
        <w:br/>
      </w:r>
    </w:p>
    <w:p w14:paraId="07910E4E" w14:textId="77777777" w:rsidR="000E7707" w:rsidRPr="00892B31" w:rsidRDefault="00B771E4" w:rsidP="009F5666">
      <w:pPr>
        <w:pStyle w:val="ListParagraph"/>
        <w:numPr>
          <w:ilvl w:val="0"/>
          <w:numId w:val="19"/>
        </w:numPr>
        <w:jc w:val="both"/>
        <w:rPr>
          <w:rFonts w:ascii="Aptos" w:hAnsi="Aptos"/>
          <w:sz w:val="28"/>
          <w:szCs w:val="28"/>
        </w:rPr>
      </w:pPr>
      <w:r w:rsidRPr="00892B31">
        <w:rPr>
          <w:rFonts w:ascii="Aptos" w:hAnsi="Aptos"/>
          <w:sz w:val="28"/>
          <w:szCs w:val="28"/>
        </w:rPr>
        <w:t xml:space="preserve">Solar/wind generation has declined from 3.0 GWh (0.30%) in 2019 to just 0.8 </w:t>
      </w:r>
      <w:r w:rsidRPr="00892B31">
        <w:rPr>
          <w:rFonts w:ascii="Aptos" w:hAnsi="Aptos"/>
          <w:sz w:val="28"/>
          <w:szCs w:val="28"/>
          <w:lang w:val="en-GB"/>
        </w:rPr>
        <w:t>GWh</w:t>
      </w:r>
      <w:r w:rsidRPr="00892B31">
        <w:rPr>
          <w:rFonts w:ascii="Aptos" w:hAnsi="Aptos"/>
          <w:sz w:val="28"/>
          <w:szCs w:val="28"/>
        </w:rPr>
        <w:t xml:space="preserve"> (0.07%) in 2024</w:t>
      </w:r>
      <w:r w:rsidR="009F5666" w:rsidRPr="00892B31">
        <w:rPr>
          <w:rFonts w:ascii="Aptos" w:hAnsi="Aptos"/>
          <w:sz w:val="28"/>
          <w:szCs w:val="28"/>
        </w:rPr>
        <w:t xml:space="preserve"> - </w:t>
      </w:r>
      <w:r w:rsidRPr="00892B31">
        <w:rPr>
          <w:rFonts w:ascii="Aptos" w:hAnsi="Aptos"/>
          <w:sz w:val="28"/>
          <w:szCs w:val="28"/>
        </w:rPr>
        <w:t>a period during which global solar costs fell by approximately 50% and diesel remained Fiji's largest generation source at 500+ GWh annually. This is not technology adoption</w:t>
      </w:r>
      <w:r w:rsidR="009F5666" w:rsidRPr="00892B31">
        <w:rPr>
          <w:rFonts w:ascii="Aptos" w:hAnsi="Aptos"/>
          <w:sz w:val="28"/>
          <w:szCs w:val="28"/>
        </w:rPr>
        <w:t xml:space="preserve"> - </w:t>
      </w:r>
      <w:r w:rsidRPr="00892B31">
        <w:rPr>
          <w:rFonts w:ascii="Aptos" w:hAnsi="Aptos"/>
          <w:sz w:val="28"/>
          <w:szCs w:val="28"/>
        </w:rPr>
        <w:t>it is technology abandonment.</w:t>
      </w:r>
    </w:p>
    <w:p w14:paraId="0D4CE2B8" w14:textId="77777777" w:rsidR="000E7707" w:rsidRPr="00892B31" w:rsidRDefault="000E7707" w:rsidP="000E7707">
      <w:pPr>
        <w:pStyle w:val="ListParagraph"/>
        <w:ind w:left="1080"/>
        <w:jc w:val="both"/>
        <w:rPr>
          <w:rFonts w:ascii="Aptos" w:hAnsi="Aptos"/>
          <w:sz w:val="28"/>
          <w:szCs w:val="28"/>
        </w:rPr>
      </w:pPr>
    </w:p>
    <w:p w14:paraId="7AF78CEF" w14:textId="510E60DD" w:rsidR="00AD71E4" w:rsidRPr="00892B31" w:rsidRDefault="00B771E4" w:rsidP="00AD71E4">
      <w:pPr>
        <w:pStyle w:val="ListParagraph"/>
        <w:numPr>
          <w:ilvl w:val="0"/>
          <w:numId w:val="19"/>
        </w:numPr>
        <w:jc w:val="both"/>
        <w:rPr>
          <w:rFonts w:ascii="Aptos" w:hAnsi="Aptos"/>
          <w:sz w:val="28"/>
          <w:szCs w:val="28"/>
        </w:rPr>
      </w:pPr>
      <w:r w:rsidRPr="00892B31">
        <w:rPr>
          <w:rFonts w:ascii="Aptos" w:hAnsi="Aptos"/>
          <w:sz w:val="28"/>
          <w:szCs w:val="28"/>
        </w:rPr>
        <w:t>The consequences of EFL's strategic choices became acute during the 2023-2024 drought when hydro output declined and diesel generation was required at elevated post-pandemic fuel prices. Solar generation would have been at maximum output during this dry, sunny period</w:t>
      </w:r>
      <w:r w:rsidR="009F5666" w:rsidRPr="00892B31">
        <w:rPr>
          <w:rFonts w:ascii="Aptos" w:hAnsi="Aptos"/>
          <w:sz w:val="28"/>
          <w:szCs w:val="28"/>
        </w:rPr>
        <w:t xml:space="preserve"> - </w:t>
      </w:r>
      <w:r w:rsidRPr="00892B31">
        <w:rPr>
          <w:rFonts w:ascii="Aptos" w:hAnsi="Aptos"/>
          <w:sz w:val="28"/>
          <w:szCs w:val="28"/>
        </w:rPr>
        <w:t xml:space="preserve">precisely hedging the drought risk </w:t>
      </w:r>
      <w:r w:rsidRPr="00892B31">
        <w:rPr>
          <w:rFonts w:ascii="Aptos" w:hAnsi="Aptos"/>
          <w:sz w:val="28"/>
          <w:szCs w:val="28"/>
        </w:rPr>
        <w:lastRenderedPageBreak/>
        <w:t>that materialized.</w:t>
      </w:r>
      <w:r w:rsidR="00AD71E4" w:rsidRPr="00892B31">
        <w:rPr>
          <w:rFonts w:ascii="Aptos" w:hAnsi="Aptos"/>
          <w:sz w:val="28"/>
          <w:szCs w:val="28"/>
        </w:rPr>
        <w:t xml:space="preserve"> </w:t>
      </w:r>
      <w:r w:rsidRPr="00892B31">
        <w:rPr>
          <w:rFonts w:ascii="Aptos" w:hAnsi="Aptos"/>
          <w:sz w:val="28"/>
          <w:szCs w:val="28"/>
        </w:rPr>
        <w:t xml:space="preserve">Had EFL begun serious solar deployment in 2015-2016 when costs became clearly competitive, it would have captured the benefit of declining costs over the subsequent decade while simultaneously reducing diesel exposure. </w:t>
      </w:r>
      <w:r w:rsidR="00AD71E4" w:rsidRPr="00892B31">
        <w:rPr>
          <w:rFonts w:ascii="Aptos" w:hAnsi="Aptos"/>
          <w:sz w:val="28"/>
          <w:szCs w:val="28"/>
        </w:rPr>
        <w:br/>
      </w:r>
    </w:p>
    <w:p w14:paraId="5CECE748" w14:textId="77777777" w:rsidR="00AD71E4" w:rsidRPr="00892B31" w:rsidRDefault="00B771E4" w:rsidP="009F5666">
      <w:pPr>
        <w:pStyle w:val="ListParagraph"/>
        <w:numPr>
          <w:ilvl w:val="0"/>
          <w:numId w:val="19"/>
        </w:numPr>
        <w:jc w:val="both"/>
        <w:rPr>
          <w:rFonts w:ascii="Aptos" w:hAnsi="Aptos"/>
          <w:sz w:val="28"/>
          <w:szCs w:val="28"/>
        </w:rPr>
      </w:pPr>
      <w:r w:rsidRPr="00892B31">
        <w:rPr>
          <w:rFonts w:ascii="Aptos" w:hAnsi="Aptos"/>
          <w:sz w:val="28"/>
          <w:szCs w:val="28"/>
        </w:rPr>
        <w:t>Earlier deployment could have avoided tens of millions in cumulative fuel costs over the 2015-2024 period. These avoided costs would have improved EFL's financial position and reduced the revenue requirement that consumers now face.</w:t>
      </w:r>
    </w:p>
    <w:p w14:paraId="2F741590" w14:textId="77777777" w:rsidR="00AD71E4" w:rsidRPr="00892B31" w:rsidRDefault="00AD71E4" w:rsidP="00AD71E4">
      <w:pPr>
        <w:pStyle w:val="ListParagraph"/>
        <w:ind w:left="1080"/>
        <w:jc w:val="both"/>
        <w:rPr>
          <w:rFonts w:ascii="Aptos" w:hAnsi="Aptos"/>
          <w:sz w:val="28"/>
          <w:szCs w:val="28"/>
        </w:rPr>
      </w:pPr>
    </w:p>
    <w:p w14:paraId="6A07CAE7" w14:textId="77777777" w:rsidR="00AD71E4" w:rsidRPr="00892B31" w:rsidRDefault="00B771E4" w:rsidP="009A1E01">
      <w:pPr>
        <w:pStyle w:val="ListParagraph"/>
        <w:numPr>
          <w:ilvl w:val="0"/>
          <w:numId w:val="19"/>
        </w:numPr>
        <w:jc w:val="both"/>
        <w:rPr>
          <w:rFonts w:ascii="Aptos" w:hAnsi="Aptos"/>
          <w:sz w:val="28"/>
          <w:szCs w:val="28"/>
        </w:rPr>
      </w:pPr>
      <w:r w:rsidRPr="00892B31">
        <w:rPr>
          <w:rFonts w:ascii="Aptos" w:hAnsi="Aptos"/>
          <w:sz w:val="28"/>
          <w:szCs w:val="28"/>
        </w:rPr>
        <w:t>Small island nations face similar challenges to Fiji</w:t>
      </w:r>
      <w:r w:rsidR="009F5666" w:rsidRPr="00892B31">
        <w:rPr>
          <w:rFonts w:ascii="Aptos" w:hAnsi="Aptos"/>
          <w:sz w:val="28"/>
          <w:szCs w:val="28"/>
        </w:rPr>
        <w:t xml:space="preserve"> - </w:t>
      </w:r>
      <w:r w:rsidRPr="00892B31">
        <w:rPr>
          <w:rFonts w:ascii="Aptos" w:hAnsi="Aptos"/>
          <w:sz w:val="28"/>
          <w:szCs w:val="28"/>
        </w:rPr>
        <w:t>limited scale, geographic isolation, and dependence on imported fuel</w:t>
      </w:r>
      <w:r w:rsidR="009F5666" w:rsidRPr="00892B31">
        <w:rPr>
          <w:rFonts w:ascii="Aptos" w:hAnsi="Aptos"/>
          <w:sz w:val="28"/>
          <w:szCs w:val="28"/>
        </w:rPr>
        <w:t xml:space="preserve"> - </w:t>
      </w:r>
      <w:r w:rsidRPr="00892B31">
        <w:rPr>
          <w:rFonts w:ascii="Aptos" w:hAnsi="Aptos"/>
          <w:sz w:val="28"/>
          <w:szCs w:val="28"/>
        </w:rPr>
        <w:t>yet several have achieved far greater renewable penetration</w:t>
      </w:r>
      <w:r w:rsidR="00AD71E4" w:rsidRPr="00892B31">
        <w:rPr>
          <w:rFonts w:ascii="Aptos" w:hAnsi="Aptos"/>
          <w:sz w:val="28"/>
          <w:szCs w:val="28"/>
        </w:rPr>
        <w:t xml:space="preserve">. Examples from </w:t>
      </w:r>
      <w:r w:rsidRPr="00892B31">
        <w:rPr>
          <w:rFonts w:ascii="Aptos" w:hAnsi="Aptos"/>
          <w:sz w:val="28"/>
          <w:szCs w:val="28"/>
        </w:rPr>
        <w:t>Barbados</w:t>
      </w:r>
      <w:r w:rsidR="00AD71E4" w:rsidRPr="00892B31">
        <w:rPr>
          <w:rFonts w:ascii="Aptos" w:hAnsi="Aptos"/>
          <w:sz w:val="28"/>
          <w:szCs w:val="28"/>
        </w:rPr>
        <w:t xml:space="preserve">, </w:t>
      </w:r>
      <w:r w:rsidRPr="00892B31">
        <w:rPr>
          <w:rFonts w:ascii="Aptos" w:hAnsi="Aptos"/>
          <w:sz w:val="28"/>
          <w:szCs w:val="28"/>
        </w:rPr>
        <w:t>Seychelles</w:t>
      </w:r>
      <w:r w:rsidR="00AD71E4" w:rsidRPr="00892B31">
        <w:rPr>
          <w:rFonts w:ascii="Aptos" w:hAnsi="Aptos"/>
          <w:sz w:val="28"/>
          <w:szCs w:val="28"/>
        </w:rPr>
        <w:t xml:space="preserve">, </w:t>
      </w:r>
      <w:r w:rsidRPr="00892B31">
        <w:rPr>
          <w:rFonts w:ascii="Aptos" w:hAnsi="Aptos"/>
          <w:sz w:val="28"/>
          <w:szCs w:val="28"/>
        </w:rPr>
        <w:t>Maldives</w:t>
      </w:r>
      <w:r w:rsidR="00AD71E4" w:rsidRPr="00892B31">
        <w:rPr>
          <w:rFonts w:ascii="Aptos" w:hAnsi="Aptos"/>
          <w:sz w:val="28"/>
          <w:szCs w:val="28"/>
        </w:rPr>
        <w:t xml:space="preserve">, </w:t>
      </w:r>
      <w:r w:rsidRPr="00892B31">
        <w:rPr>
          <w:rFonts w:ascii="Aptos" w:hAnsi="Aptos"/>
          <w:sz w:val="28"/>
          <w:szCs w:val="28"/>
        </w:rPr>
        <w:t>Hawaii (US)</w:t>
      </w:r>
      <w:r w:rsidR="00AD71E4" w:rsidRPr="00892B31">
        <w:rPr>
          <w:rFonts w:ascii="Aptos" w:hAnsi="Aptos"/>
          <w:sz w:val="28"/>
          <w:szCs w:val="28"/>
        </w:rPr>
        <w:t xml:space="preserve"> has been provided in FCEF’s full submission.</w:t>
      </w:r>
      <w:r w:rsidR="00AD71E4" w:rsidRPr="00892B31">
        <w:rPr>
          <w:rFonts w:ascii="Aptos" w:hAnsi="Aptos"/>
          <w:b/>
          <w:sz w:val="28"/>
          <w:szCs w:val="28"/>
        </w:rPr>
        <w:t xml:space="preserve"> </w:t>
      </w:r>
    </w:p>
    <w:p w14:paraId="47FFE9B8" w14:textId="77777777" w:rsidR="00AD71E4" w:rsidRPr="00892B31" w:rsidRDefault="00AD71E4" w:rsidP="00AD71E4">
      <w:pPr>
        <w:pStyle w:val="ListParagraph"/>
        <w:rPr>
          <w:rFonts w:ascii="Aptos" w:hAnsi="Aptos"/>
          <w:sz w:val="28"/>
          <w:szCs w:val="28"/>
        </w:rPr>
      </w:pPr>
    </w:p>
    <w:p w14:paraId="63690298" w14:textId="021490E8" w:rsidR="00AA2148" w:rsidRPr="00892B31" w:rsidRDefault="00B771E4" w:rsidP="009A1E01">
      <w:pPr>
        <w:pStyle w:val="ListParagraph"/>
        <w:numPr>
          <w:ilvl w:val="0"/>
          <w:numId w:val="19"/>
        </w:numPr>
        <w:jc w:val="both"/>
        <w:rPr>
          <w:rFonts w:ascii="Aptos" w:hAnsi="Aptos"/>
          <w:sz w:val="28"/>
          <w:szCs w:val="28"/>
        </w:rPr>
      </w:pPr>
      <w:r w:rsidRPr="00892B31">
        <w:rPr>
          <w:rFonts w:ascii="Aptos" w:hAnsi="Aptos"/>
          <w:sz w:val="28"/>
          <w:szCs w:val="28"/>
        </w:rPr>
        <w:t>Many jurisdictions have reduced utility costs by competitively procuring power from Independent Power Producers (IPPs). Fiji has framework legislation for IPPs but minimal deployment. Competitive IPP procurement allows price discovery that tests whether utility self-build costs are efficient, transfers construction and operational risk to private developers, and brings international expertise and financing to local markets. EFL's limited use of IPPs means consumers cannot know whether EFL's costs are competitive.</w:t>
      </w:r>
    </w:p>
    <w:p w14:paraId="1A46A4D1" w14:textId="77777777" w:rsidR="00AA2148" w:rsidRPr="00892B31" w:rsidRDefault="00B771E4">
      <w:pPr>
        <w:pStyle w:val="Heading1"/>
        <w:rPr>
          <w:rFonts w:ascii="Aptos" w:hAnsi="Aptos"/>
        </w:rPr>
      </w:pPr>
      <w:r w:rsidRPr="00892B31">
        <w:rPr>
          <w:rFonts w:ascii="Aptos" w:hAnsi="Aptos"/>
          <w:color w:val="000000"/>
        </w:rPr>
        <w:t>5. ECONOMIC CONTEXT: CUMULATIVE COST CRISIS</w:t>
      </w:r>
    </w:p>
    <w:p w14:paraId="62D437DA" w14:textId="77777777" w:rsidR="00AD71E4" w:rsidRPr="00892B31" w:rsidRDefault="00AD71E4" w:rsidP="00B95255">
      <w:pPr>
        <w:jc w:val="both"/>
        <w:rPr>
          <w:rFonts w:ascii="Aptos" w:hAnsi="Aptos"/>
          <w:sz w:val="28"/>
          <w:szCs w:val="28"/>
        </w:rPr>
      </w:pPr>
    </w:p>
    <w:p w14:paraId="114BE862" w14:textId="77777777" w:rsidR="00AD71E4" w:rsidRPr="00892B31" w:rsidRDefault="00B771E4" w:rsidP="00B95255">
      <w:pPr>
        <w:pStyle w:val="ListParagraph"/>
        <w:numPr>
          <w:ilvl w:val="0"/>
          <w:numId w:val="20"/>
        </w:numPr>
        <w:jc w:val="both"/>
        <w:rPr>
          <w:rFonts w:ascii="Aptos" w:hAnsi="Aptos"/>
          <w:sz w:val="28"/>
          <w:szCs w:val="28"/>
        </w:rPr>
      </w:pPr>
      <w:r w:rsidRPr="00892B31">
        <w:rPr>
          <w:rFonts w:ascii="Aptos" w:hAnsi="Aptos"/>
          <w:sz w:val="28"/>
          <w:szCs w:val="28"/>
        </w:rPr>
        <w:t>The proposed tariff increase does not occur in isolation. Fiji's businesses and households have already absorbed unprecedented cost increases since 2021. The electricity tariff increase would compound an existing cumulative burden that has exhausted the absorption capacity of the economy.</w:t>
      </w:r>
    </w:p>
    <w:p w14:paraId="3A317FF9" w14:textId="77777777" w:rsidR="00AD71E4" w:rsidRPr="00892B31" w:rsidRDefault="00AD71E4" w:rsidP="00AD71E4">
      <w:pPr>
        <w:pStyle w:val="ListParagraph"/>
        <w:jc w:val="both"/>
        <w:rPr>
          <w:rFonts w:ascii="Aptos" w:hAnsi="Aptos"/>
          <w:sz w:val="28"/>
          <w:szCs w:val="28"/>
        </w:rPr>
      </w:pPr>
    </w:p>
    <w:p w14:paraId="7E657942" w14:textId="77777777" w:rsidR="00AD71E4" w:rsidRPr="00892B31" w:rsidRDefault="00B771E4" w:rsidP="00B95255">
      <w:pPr>
        <w:pStyle w:val="ListParagraph"/>
        <w:numPr>
          <w:ilvl w:val="0"/>
          <w:numId w:val="20"/>
        </w:numPr>
        <w:jc w:val="both"/>
        <w:rPr>
          <w:rFonts w:ascii="Aptos" w:hAnsi="Aptos"/>
          <w:sz w:val="28"/>
          <w:szCs w:val="28"/>
        </w:rPr>
      </w:pPr>
      <w:r w:rsidRPr="00892B31">
        <w:rPr>
          <w:rFonts w:ascii="Aptos" w:hAnsi="Aptos"/>
          <w:sz w:val="28"/>
          <w:szCs w:val="28"/>
        </w:rPr>
        <w:t>The proposed electricity increase would add to an already severe cost burden. Businesses that have absorbed wage increases, tax increases, and inflation have no remaining capacity to absorb a 34.7% electricity cost increase without passing costs to consumers, reducing employment, or ceasing operations.</w:t>
      </w:r>
    </w:p>
    <w:p w14:paraId="15E9D4E9" w14:textId="77777777" w:rsidR="00AD71E4" w:rsidRPr="00892B31" w:rsidRDefault="00AD71E4" w:rsidP="00AD71E4">
      <w:pPr>
        <w:pStyle w:val="ListParagraph"/>
        <w:rPr>
          <w:rFonts w:ascii="Aptos" w:hAnsi="Aptos"/>
          <w:sz w:val="28"/>
          <w:szCs w:val="28"/>
        </w:rPr>
      </w:pPr>
    </w:p>
    <w:p w14:paraId="4A5B0B18" w14:textId="5BE1BEE7" w:rsidR="00AA2148" w:rsidRPr="00892B31" w:rsidRDefault="00B771E4" w:rsidP="00B95255">
      <w:pPr>
        <w:pStyle w:val="ListParagraph"/>
        <w:numPr>
          <w:ilvl w:val="0"/>
          <w:numId w:val="20"/>
        </w:numPr>
        <w:jc w:val="both"/>
        <w:rPr>
          <w:rFonts w:ascii="Aptos" w:hAnsi="Aptos"/>
          <w:sz w:val="28"/>
          <w:szCs w:val="28"/>
        </w:rPr>
      </w:pPr>
      <w:r w:rsidRPr="00892B31">
        <w:rPr>
          <w:rFonts w:ascii="Aptos" w:hAnsi="Aptos"/>
          <w:sz w:val="28"/>
          <w:szCs w:val="28"/>
        </w:rPr>
        <w:t>EFL's demand projections of 5% annual growth should be assessed against Fiji's demographic trajectory, which indicates weaker long-term demand foundations than EFL's projections imply:</w:t>
      </w:r>
    </w:p>
    <w:p w14:paraId="36C2021F" w14:textId="5F6ECC9D" w:rsidR="00AD71E4" w:rsidRPr="00892B31" w:rsidRDefault="00B771E4" w:rsidP="00AD71E4">
      <w:pPr>
        <w:pStyle w:val="ListBullet"/>
        <w:tabs>
          <w:tab w:val="clear" w:pos="360"/>
          <w:tab w:val="num" w:pos="1080"/>
        </w:tabs>
        <w:ind w:left="1080"/>
        <w:jc w:val="both"/>
        <w:rPr>
          <w:rFonts w:ascii="Aptos" w:hAnsi="Aptos"/>
          <w:sz w:val="28"/>
          <w:szCs w:val="28"/>
        </w:rPr>
      </w:pPr>
      <w:r w:rsidRPr="00892B31">
        <w:rPr>
          <w:rFonts w:ascii="Aptos" w:hAnsi="Aptos"/>
          <w:sz w:val="28"/>
          <w:szCs w:val="28"/>
        </w:rPr>
        <w:t xml:space="preserve">Between the 2017 Census (884,887) and 2025 projection (900,869), net average annual </w:t>
      </w:r>
      <w:r w:rsidR="00AD71E4" w:rsidRPr="00892B31">
        <w:rPr>
          <w:rFonts w:ascii="Aptos" w:hAnsi="Aptos"/>
          <w:sz w:val="28"/>
          <w:szCs w:val="28"/>
        </w:rPr>
        <w:t xml:space="preserve">population </w:t>
      </w:r>
      <w:r w:rsidRPr="00892B31">
        <w:rPr>
          <w:rFonts w:ascii="Aptos" w:hAnsi="Aptos"/>
          <w:sz w:val="28"/>
          <w:szCs w:val="28"/>
        </w:rPr>
        <w:t>growth rate of approximately 0.2%</w:t>
      </w:r>
      <w:r w:rsidR="00020067" w:rsidRPr="00892B31">
        <w:rPr>
          <w:rFonts w:ascii="Aptos" w:hAnsi="Aptos"/>
          <w:sz w:val="28"/>
          <w:szCs w:val="28"/>
        </w:rPr>
        <w:t>.</w:t>
      </w:r>
    </w:p>
    <w:p w14:paraId="08D2850E" w14:textId="77777777" w:rsidR="00AD71E4" w:rsidRPr="00892B31" w:rsidRDefault="00B771E4" w:rsidP="00AD71E4">
      <w:pPr>
        <w:pStyle w:val="ListBullet"/>
        <w:tabs>
          <w:tab w:val="clear" w:pos="360"/>
          <w:tab w:val="num" w:pos="1080"/>
        </w:tabs>
        <w:ind w:left="1080"/>
        <w:jc w:val="both"/>
        <w:rPr>
          <w:rFonts w:ascii="Aptos" w:hAnsi="Aptos"/>
          <w:sz w:val="28"/>
          <w:szCs w:val="28"/>
        </w:rPr>
      </w:pPr>
      <w:r w:rsidRPr="00892B31">
        <w:rPr>
          <w:rFonts w:ascii="Aptos" w:hAnsi="Aptos"/>
          <w:sz w:val="28"/>
          <w:szCs w:val="28"/>
        </w:rPr>
        <w:t>More than 114,000 Fijians have departed</w:t>
      </w:r>
      <w:r w:rsidR="00AD71E4" w:rsidRPr="00892B31">
        <w:rPr>
          <w:rFonts w:ascii="Aptos" w:hAnsi="Aptos"/>
          <w:sz w:val="28"/>
          <w:szCs w:val="28"/>
        </w:rPr>
        <w:t xml:space="preserve"> Fiji</w:t>
      </w:r>
      <w:r w:rsidRPr="00892B31">
        <w:rPr>
          <w:rFonts w:ascii="Aptos" w:hAnsi="Aptos"/>
          <w:sz w:val="28"/>
          <w:szCs w:val="28"/>
        </w:rPr>
        <w:t xml:space="preserve"> since 2018, primarily for overseas employment and education</w:t>
      </w:r>
      <w:r w:rsidR="00020067" w:rsidRPr="00892B31">
        <w:rPr>
          <w:rFonts w:ascii="Aptos" w:hAnsi="Aptos"/>
          <w:sz w:val="28"/>
          <w:szCs w:val="28"/>
        </w:rPr>
        <w:t>.</w:t>
      </w:r>
    </w:p>
    <w:p w14:paraId="40661A8A" w14:textId="0F4716F9" w:rsidR="00AA2148" w:rsidRPr="00892B31" w:rsidRDefault="00B771E4" w:rsidP="00AD71E4">
      <w:pPr>
        <w:pStyle w:val="ListBullet"/>
        <w:tabs>
          <w:tab w:val="clear" w:pos="360"/>
          <w:tab w:val="num" w:pos="1080"/>
        </w:tabs>
        <w:ind w:left="1080"/>
        <w:jc w:val="both"/>
        <w:rPr>
          <w:rFonts w:ascii="Aptos" w:hAnsi="Aptos"/>
          <w:sz w:val="28"/>
          <w:szCs w:val="28"/>
        </w:rPr>
      </w:pPr>
      <w:r w:rsidRPr="00892B31">
        <w:rPr>
          <w:rFonts w:ascii="Aptos" w:hAnsi="Aptos"/>
          <w:sz w:val="28"/>
          <w:szCs w:val="28"/>
        </w:rPr>
        <w:t>Annual births have declined to 17,000-18,000, and the 1 million population milestone is now delayed to at least 2035</w:t>
      </w:r>
      <w:r w:rsidR="00020067" w:rsidRPr="00892B31">
        <w:rPr>
          <w:rFonts w:ascii="Aptos" w:hAnsi="Aptos"/>
          <w:sz w:val="28"/>
          <w:szCs w:val="28"/>
        </w:rPr>
        <w:t>.</w:t>
      </w:r>
    </w:p>
    <w:p w14:paraId="72F24A4E" w14:textId="77777777" w:rsidR="00AD71E4" w:rsidRPr="00892B31" w:rsidRDefault="00AD71E4" w:rsidP="00AD71E4">
      <w:pPr>
        <w:pStyle w:val="ListBullet"/>
        <w:numPr>
          <w:ilvl w:val="0"/>
          <w:numId w:val="0"/>
        </w:numPr>
        <w:ind w:left="360" w:hanging="360"/>
        <w:jc w:val="both"/>
        <w:rPr>
          <w:rFonts w:ascii="Aptos" w:hAnsi="Aptos"/>
          <w:sz w:val="28"/>
          <w:szCs w:val="28"/>
        </w:rPr>
      </w:pPr>
    </w:p>
    <w:p w14:paraId="7CA3CE91" w14:textId="77777777" w:rsidR="00AD71E4" w:rsidRPr="00892B31" w:rsidRDefault="00B771E4" w:rsidP="00B95255">
      <w:pPr>
        <w:pStyle w:val="ListBullet"/>
        <w:numPr>
          <w:ilvl w:val="0"/>
          <w:numId w:val="20"/>
        </w:numPr>
        <w:jc w:val="both"/>
        <w:rPr>
          <w:rFonts w:ascii="Aptos" w:hAnsi="Aptos"/>
          <w:sz w:val="28"/>
          <w:szCs w:val="28"/>
        </w:rPr>
      </w:pPr>
      <w:r w:rsidRPr="00892B31">
        <w:rPr>
          <w:rFonts w:ascii="Aptos" w:hAnsi="Aptos"/>
          <w:sz w:val="28"/>
          <w:szCs w:val="28"/>
        </w:rPr>
        <w:t xml:space="preserve">For businesses, this translates into a shrinking skilled </w:t>
      </w:r>
      <w:proofErr w:type="spellStart"/>
      <w:r w:rsidRPr="00892B31">
        <w:rPr>
          <w:rFonts w:ascii="Aptos" w:hAnsi="Aptos"/>
          <w:sz w:val="28"/>
          <w:szCs w:val="28"/>
        </w:rPr>
        <w:t>labour</w:t>
      </w:r>
      <w:proofErr w:type="spellEnd"/>
      <w:r w:rsidRPr="00892B31">
        <w:rPr>
          <w:rFonts w:ascii="Aptos" w:hAnsi="Aptos"/>
          <w:sz w:val="28"/>
          <w:szCs w:val="28"/>
        </w:rPr>
        <w:t xml:space="preserve"> pool, weaker domestic demand, higher recruitment costs, and reduced capacity to absorb utility cost increases</w:t>
      </w:r>
      <w:r w:rsidR="00020067" w:rsidRPr="00892B31">
        <w:rPr>
          <w:rFonts w:ascii="Aptos" w:hAnsi="Aptos"/>
          <w:sz w:val="28"/>
          <w:szCs w:val="28"/>
        </w:rPr>
        <w:t>.</w:t>
      </w:r>
    </w:p>
    <w:p w14:paraId="18916227" w14:textId="77777777" w:rsidR="00AD71E4" w:rsidRPr="00892B31" w:rsidRDefault="00AD71E4" w:rsidP="00AD71E4">
      <w:pPr>
        <w:pStyle w:val="ListBullet"/>
        <w:numPr>
          <w:ilvl w:val="0"/>
          <w:numId w:val="0"/>
        </w:numPr>
        <w:ind w:left="720"/>
        <w:jc w:val="both"/>
        <w:rPr>
          <w:rFonts w:ascii="Aptos" w:hAnsi="Aptos"/>
          <w:sz w:val="28"/>
          <w:szCs w:val="28"/>
        </w:rPr>
      </w:pPr>
    </w:p>
    <w:p w14:paraId="491FAA65" w14:textId="77777777" w:rsidR="00AD71E4" w:rsidRPr="00892B31" w:rsidRDefault="00B771E4" w:rsidP="00B95255">
      <w:pPr>
        <w:pStyle w:val="ListBullet"/>
        <w:numPr>
          <w:ilvl w:val="0"/>
          <w:numId w:val="20"/>
        </w:numPr>
        <w:jc w:val="both"/>
        <w:rPr>
          <w:rFonts w:ascii="Aptos" w:hAnsi="Aptos"/>
          <w:sz w:val="28"/>
          <w:szCs w:val="28"/>
        </w:rPr>
      </w:pPr>
      <w:r w:rsidRPr="00892B31">
        <w:rPr>
          <w:rFonts w:ascii="Aptos" w:hAnsi="Aptos"/>
          <w:sz w:val="28"/>
          <w:szCs w:val="28"/>
        </w:rPr>
        <w:t>FCCC should require independent verification of EFL's demand projections against demographic realities before approving tariff increases predicated on demand growth assumptions that may not materialize.</w:t>
      </w:r>
    </w:p>
    <w:p w14:paraId="5ED8C379" w14:textId="77777777" w:rsidR="00AD71E4" w:rsidRPr="00892B31" w:rsidRDefault="00AD71E4" w:rsidP="00AD71E4">
      <w:pPr>
        <w:pStyle w:val="ListParagraph"/>
        <w:rPr>
          <w:rFonts w:ascii="Aptos" w:hAnsi="Aptos"/>
          <w:sz w:val="28"/>
          <w:szCs w:val="28"/>
        </w:rPr>
      </w:pPr>
    </w:p>
    <w:p w14:paraId="166F09F1" w14:textId="77777777" w:rsidR="00AD71E4" w:rsidRPr="00892B31" w:rsidRDefault="00B771E4" w:rsidP="00B95255">
      <w:pPr>
        <w:pStyle w:val="ListBullet"/>
        <w:numPr>
          <w:ilvl w:val="0"/>
          <w:numId w:val="20"/>
        </w:numPr>
        <w:jc w:val="both"/>
        <w:rPr>
          <w:rFonts w:ascii="Aptos" w:hAnsi="Aptos"/>
          <w:sz w:val="28"/>
          <w:szCs w:val="28"/>
        </w:rPr>
      </w:pPr>
      <w:r w:rsidRPr="00892B31">
        <w:rPr>
          <w:rFonts w:ascii="Aptos" w:hAnsi="Aptos"/>
          <w:sz w:val="28"/>
          <w:szCs w:val="28"/>
        </w:rPr>
        <w:t xml:space="preserve">The claim that the tariff structure 'protects' 97% of residential customers is misleading. Commercial electricity costs are embedded in the prices of all goods and services. When commercial tariffs increase 34.7%, those costs transmit through supply chains to final consumers. A household paying no direct </w:t>
      </w:r>
      <w:r w:rsidRPr="00892B31">
        <w:rPr>
          <w:rFonts w:ascii="Aptos" w:hAnsi="Aptos"/>
          <w:sz w:val="28"/>
          <w:szCs w:val="28"/>
        </w:rPr>
        <w:lastRenderedPageBreak/>
        <w:t>electricity increase will nonetheless pay higher prices for food, transport, healthcare, and services. The commer</w:t>
      </w:r>
      <w:r w:rsidR="00B95255" w:rsidRPr="00892B31">
        <w:rPr>
          <w:rFonts w:ascii="Aptos" w:hAnsi="Aptos"/>
          <w:sz w:val="28"/>
          <w:szCs w:val="28"/>
        </w:rPr>
        <w:t>cial tariff increase will have “</w:t>
      </w:r>
      <w:r w:rsidRPr="00892B31">
        <w:rPr>
          <w:rFonts w:ascii="Aptos" w:hAnsi="Aptos"/>
          <w:sz w:val="28"/>
          <w:szCs w:val="28"/>
        </w:rPr>
        <w:t>severe consequences and raise the prices of goods and se</w:t>
      </w:r>
      <w:r w:rsidR="00B95255" w:rsidRPr="00892B31">
        <w:rPr>
          <w:rFonts w:ascii="Aptos" w:hAnsi="Aptos"/>
          <w:sz w:val="28"/>
          <w:szCs w:val="28"/>
        </w:rPr>
        <w:t>rvices” as “</w:t>
      </w:r>
      <w:r w:rsidRPr="00892B31">
        <w:rPr>
          <w:rFonts w:ascii="Aptos" w:hAnsi="Aptos"/>
          <w:sz w:val="28"/>
          <w:szCs w:val="28"/>
        </w:rPr>
        <w:t>businesses try to re</w:t>
      </w:r>
      <w:r w:rsidR="00B95255" w:rsidRPr="00892B31">
        <w:rPr>
          <w:rFonts w:ascii="Aptos" w:hAnsi="Aptos"/>
          <w:sz w:val="28"/>
          <w:szCs w:val="28"/>
        </w:rPr>
        <w:t>coup revenue by raising prices.”</w:t>
      </w:r>
      <w:r w:rsidRPr="00892B31">
        <w:rPr>
          <w:rFonts w:ascii="Aptos" w:hAnsi="Aptos"/>
          <w:sz w:val="28"/>
          <w:szCs w:val="28"/>
        </w:rPr>
        <w:t xml:space="preserve"> This affects all consumers regardless of their residential electricity consumption tier.</w:t>
      </w:r>
    </w:p>
    <w:p w14:paraId="3CDD3306" w14:textId="77777777" w:rsidR="00AD71E4" w:rsidRPr="00892B31" w:rsidRDefault="00AD71E4" w:rsidP="00AD71E4">
      <w:pPr>
        <w:pStyle w:val="ListParagraph"/>
        <w:rPr>
          <w:rFonts w:ascii="Aptos" w:hAnsi="Aptos"/>
          <w:sz w:val="28"/>
          <w:szCs w:val="28"/>
        </w:rPr>
      </w:pPr>
    </w:p>
    <w:p w14:paraId="605B3142" w14:textId="77777777" w:rsidR="0079784B" w:rsidRPr="00892B31" w:rsidRDefault="00AD71E4" w:rsidP="0079784B">
      <w:pPr>
        <w:pStyle w:val="ListBullet"/>
        <w:numPr>
          <w:ilvl w:val="0"/>
          <w:numId w:val="20"/>
        </w:numPr>
        <w:jc w:val="both"/>
        <w:rPr>
          <w:rFonts w:ascii="Aptos" w:hAnsi="Aptos"/>
          <w:sz w:val="28"/>
          <w:szCs w:val="28"/>
        </w:rPr>
      </w:pPr>
      <w:r w:rsidRPr="00892B31">
        <w:rPr>
          <w:rFonts w:ascii="Aptos" w:hAnsi="Aptos"/>
          <w:sz w:val="28"/>
          <w:szCs w:val="28"/>
        </w:rPr>
        <w:t>For the</w:t>
      </w:r>
      <w:r w:rsidR="00B771E4" w:rsidRPr="00892B31">
        <w:rPr>
          <w:rFonts w:ascii="Aptos" w:hAnsi="Aptos"/>
          <w:sz w:val="28"/>
          <w:szCs w:val="28"/>
        </w:rPr>
        <w:t xml:space="preserve"> tourism sector </w:t>
      </w:r>
      <w:r w:rsidRPr="00892B31">
        <w:rPr>
          <w:rFonts w:ascii="Aptos" w:hAnsi="Aptos"/>
          <w:sz w:val="28"/>
          <w:szCs w:val="28"/>
        </w:rPr>
        <w:t>e</w:t>
      </w:r>
      <w:r w:rsidR="00B771E4" w:rsidRPr="00892B31">
        <w:rPr>
          <w:rFonts w:ascii="Aptos" w:hAnsi="Aptos"/>
          <w:sz w:val="28"/>
          <w:szCs w:val="28"/>
        </w:rPr>
        <w:t>lectricity costs represent 15-25% of operating costs for many tourism properties.</w:t>
      </w:r>
      <w:r w:rsidRPr="00892B31">
        <w:rPr>
          <w:rFonts w:ascii="Aptos" w:hAnsi="Aptos"/>
          <w:sz w:val="28"/>
          <w:szCs w:val="28"/>
        </w:rPr>
        <w:t xml:space="preserve"> </w:t>
      </w:r>
      <w:r w:rsidR="00B771E4" w:rsidRPr="00892B31">
        <w:rPr>
          <w:rFonts w:ascii="Aptos" w:hAnsi="Aptos"/>
          <w:sz w:val="28"/>
          <w:szCs w:val="28"/>
        </w:rPr>
        <w:t xml:space="preserve">A 34.7% increase in commercial electricity tariffs translates to 5-9 percentage point increases in total operating costs for electricity-intensive tourism operations. </w:t>
      </w:r>
      <w:r w:rsidRPr="00892B31">
        <w:rPr>
          <w:rFonts w:ascii="Aptos" w:hAnsi="Aptos"/>
          <w:sz w:val="28"/>
          <w:szCs w:val="28"/>
        </w:rPr>
        <w:t xml:space="preserve">For </w:t>
      </w:r>
      <w:r w:rsidR="00B771E4" w:rsidRPr="00892B31">
        <w:rPr>
          <w:rFonts w:ascii="Aptos" w:hAnsi="Aptos"/>
          <w:sz w:val="28"/>
          <w:szCs w:val="28"/>
        </w:rPr>
        <w:t xml:space="preserve">Manufacturing </w:t>
      </w:r>
      <w:r w:rsidR="0079784B" w:rsidRPr="00892B31">
        <w:rPr>
          <w:rFonts w:ascii="Aptos" w:hAnsi="Aptos"/>
          <w:sz w:val="28"/>
          <w:szCs w:val="28"/>
        </w:rPr>
        <w:t xml:space="preserve">a 34.7% increase could </w:t>
      </w:r>
      <w:r w:rsidR="00B771E4" w:rsidRPr="00892B31">
        <w:rPr>
          <w:rFonts w:ascii="Aptos" w:hAnsi="Aptos"/>
          <w:sz w:val="28"/>
          <w:szCs w:val="28"/>
        </w:rPr>
        <w:t>represent 2.7-5.2 percentage point increases in total costs</w:t>
      </w:r>
      <w:r w:rsidR="00B95255" w:rsidRPr="00892B31">
        <w:rPr>
          <w:rFonts w:ascii="Aptos" w:hAnsi="Aptos"/>
          <w:sz w:val="28"/>
          <w:szCs w:val="28"/>
        </w:rPr>
        <w:t xml:space="preserve">, </w:t>
      </w:r>
      <w:r w:rsidR="00B771E4" w:rsidRPr="00892B31">
        <w:rPr>
          <w:rFonts w:ascii="Aptos" w:hAnsi="Aptos"/>
          <w:sz w:val="28"/>
          <w:szCs w:val="28"/>
        </w:rPr>
        <w:t xml:space="preserve">enough to eliminate profit margins for operations already at the edge of viability. </w:t>
      </w:r>
    </w:p>
    <w:p w14:paraId="257D8F9D" w14:textId="77777777" w:rsidR="0079784B" w:rsidRPr="00892B31" w:rsidRDefault="0079784B" w:rsidP="0079784B">
      <w:pPr>
        <w:pStyle w:val="ListParagraph"/>
        <w:rPr>
          <w:rFonts w:ascii="Aptos" w:hAnsi="Aptos"/>
          <w:sz w:val="28"/>
          <w:szCs w:val="28"/>
        </w:rPr>
      </w:pPr>
    </w:p>
    <w:p w14:paraId="64B3413E" w14:textId="38AC88CA" w:rsidR="0079784B" w:rsidRPr="00892B31" w:rsidRDefault="0079784B" w:rsidP="0079784B">
      <w:pPr>
        <w:pStyle w:val="ListBullet"/>
        <w:numPr>
          <w:ilvl w:val="0"/>
          <w:numId w:val="20"/>
        </w:numPr>
        <w:jc w:val="both"/>
        <w:rPr>
          <w:rFonts w:ascii="Aptos" w:hAnsi="Aptos"/>
          <w:sz w:val="28"/>
          <w:szCs w:val="28"/>
        </w:rPr>
      </w:pPr>
      <w:r w:rsidRPr="00892B31">
        <w:rPr>
          <w:rFonts w:ascii="Aptos" w:hAnsi="Aptos"/>
          <w:sz w:val="28"/>
          <w:szCs w:val="28"/>
        </w:rPr>
        <w:t>The Textile, Footwear &amp; Clothing Council (TFC) submission illustrates the disproportionate impact on energy-intensive industries. Employment in the sector has already declined from 7,000 workers to fewer than 4,000. Garment exports fell from FJD 83.5M (2023) to FJD 66.4M (2024) to FJD 50.8M (Jan-Sep 2025). The sector competes with Bangladesh, Vietnam, and China where energy costs are significantly lower. Higher tariffs risk accelerating factory closures and relocation to lower-cost jurisdictions</w:t>
      </w:r>
    </w:p>
    <w:p w14:paraId="4BDAC359" w14:textId="77777777" w:rsidR="0079784B" w:rsidRPr="00892B31" w:rsidRDefault="0079784B" w:rsidP="0079784B">
      <w:pPr>
        <w:pStyle w:val="ListParagraph"/>
        <w:rPr>
          <w:rFonts w:ascii="Aptos" w:hAnsi="Aptos"/>
          <w:sz w:val="28"/>
          <w:szCs w:val="28"/>
        </w:rPr>
      </w:pPr>
    </w:p>
    <w:p w14:paraId="13D2A419" w14:textId="77777777" w:rsidR="0079784B" w:rsidRPr="00892B31" w:rsidRDefault="00B771E4" w:rsidP="00A93C26">
      <w:pPr>
        <w:pStyle w:val="ListBullet"/>
        <w:numPr>
          <w:ilvl w:val="0"/>
          <w:numId w:val="20"/>
        </w:numPr>
        <w:jc w:val="both"/>
        <w:rPr>
          <w:rFonts w:ascii="Aptos" w:hAnsi="Aptos"/>
          <w:sz w:val="28"/>
          <w:szCs w:val="28"/>
        </w:rPr>
      </w:pPr>
      <w:r w:rsidRPr="00892B31">
        <w:rPr>
          <w:rFonts w:ascii="Aptos" w:hAnsi="Aptos"/>
          <w:sz w:val="28"/>
          <w:szCs w:val="28"/>
        </w:rPr>
        <w:t>For MSMEs, the proposed increase threatens business survival. For a small retail operation with monthly electricity bills of FJD 1,000, the proposed increase adds FJD 4,140 annually to operating costs. For a restaurant with monthly bills of FJD 2,000, the annual increase is FJD 8,280. These amounts may exceed annual profit margins for businesses operating at typical MSME profitability levels.</w:t>
      </w:r>
    </w:p>
    <w:p w14:paraId="12EE042A" w14:textId="77777777" w:rsidR="0079784B" w:rsidRPr="00892B31" w:rsidRDefault="0079784B" w:rsidP="0079784B">
      <w:pPr>
        <w:pStyle w:val="ListParagraph"/>
        <w:rPr>
          <w:rFonts w:ascii="Aptos" w:hAnsi="Aptos"/>
          <w:sz w:val="28"/>
          <w:szCs w:val="28"/>
        </w:rPr>
      </w:pPr>
    </w:p>
    <w:p w14:paraId="0F9BB66C" w14:textId="1DF79549" w:rsidR="00AA2148" w:rsidRPr="00892B31" w:rsidRDefault="00B771E4" w:rsidP="004934F9">
      <w:pPr>
        <w:pStyle w:val="ListBullet"/>
        <w:numPr>
          <w:ilvl w:val="0"/>
          <w:numId w:val="20"/>
        </w:numPr>
        <w:jc w:val="both"/>
        <w:rPr>
          <w:rFonts w:ascii="Aptos" w:hAnsi="Aptos"/>
          <w:sz w:val="28"/>
          <w:szCs w:val="28"/>
        </w:rPr>
      </w:pPr>
      <w:r w:rsidRPr="00892B31">
        <w:rPr>
          <w:rFonts w:ascii="Aptos" w:hAnsi="Aptos"/>
          <w:sz w:val="28"/>
          <w:szCs w:val="28"/>
        </w:rPr>
        <w:t>High commercial tariffs create incentives for large electricity users to exit the grid through self-generation, reducing EFL's revenue base and increasing unit costs for re</w:t>
      </w:r>
      <w:r w:rsidR="008351A7" w:rsidRPr="00892B31">
        <w:rPr>
          <w:rFonts w:ascii="Aptos" w:hAnsi="Aptos"/>
          <w:sz w:val="28"/>
          <w:szCs w:val="28"/>
        </w:rPr>
        <w:t xml:space="preserve">maining customers. This dynamic - </w:t>
      </w:r>
      <w:r w:rsidRPr="00892B31">
        <w:rPr>
          <w:rFonts w:ascii="Aptos" w:hAnsi="Aptos"/>
          <w:sz w:val="28"/>
          <w:szCs w:val="28"/>
        </w:rPr>
        <w:t>documented i</w:t>
      </w:r>
      <w:r w:rsidR="008351A7" w:rsidRPr="00892B31">
        <w:rPr>
          <w:rFonts w:ascii="Aptos" w:hAnsi="Aptos"/>
          <w:sz w:val="28"/>
          <w:szCs w:val="28"/>
        </w:rPr>
        <w:t xml:space="preserve">n electricity systems worldwide - </w:t>
      </w:r>
      <w:r w:rsidRPr="00892B31">
        <w:rPr>
          <w:rFonts w:ascii="Aptos" w:hAnsi="Aptos"/>
          <w:sz w:val="28"/>
          <w:szCs w:val="28"/>
        </w:rPr>
        <w:t>can become self-reinforcing.</w:t>
      </w:r>
      <w:r w:rsidR="0079784B" w:rsidRPr="00892B31">
        <w:rPr>
          <w:rFonts w:ascii="Aptos" w:hAnsi="Aptos"/>
          <w:sz w:val="28"/>
          <w:szCs w:val="28"/>
        </w:rPr>
        <w:t xml:space="preserve"> </w:t>
      </w:r>
      <w:r w:rsidRPr="00892B31">
        <w:rPr>
          <w:rFonts w:ascii="Aptos" w:hAnsi="Aptos"/>
          <w:sz w:val="28"/>
          <w:szCs w:val="28"/>
        </w:rPr>
        <w:t>At current solar costs and a 34.7% commercial tariff increase, the payback period for behind-the-meter solar with battery backup becomes compelling for many large users. Each large customer that reduces grid purchases or exits entirely reduces EFL's revenue while fixed network costs remain unchanged. The same transmission and distribution network must be maintained regardless of throughput. The result is that remaining customers must cover fixed costs across a smaller revenue base, mathematically requiring higher per-unit charges to recover the same fixed cost pool.</w:t>
      </w:r>
    </w:p>
    <w:p w14:paraId="63B203C8" w14:textId="3E26E0F2" w:rsidR="00AA2148" w:rsidRPr="00892B31" w:rsidRDefault="00AA2148" w:rsidP="00A93C26">
      <w:pPr>
        <w:jc w:val="both"/>
        <w:rPr>
          <w:rFonts w:ascii="Aptos" w:hAnsi="Aptos"/>
          <w:sz w:val="28"/>
          <w:szCs w:val="28"/>
        </w:rPr>
      </w:pPr>
    </w:p>
    <w:p w14:paraId="7C45182E" w14:textId="77777777" w:rsidR="00AA2148" w:rsidRPr="00892B31" w:rsidRDefault="00B771E4">
      <w:pPr>
        <w:pStyle w:val="Heading1"/>
        <w:rPr>
          <w:rFonts w:ascii="Aptos" w:hAnsi="Aptos"/>
        </w:rPr>
      </w:pPr>
      <w:r w:rsidRPr="00892B31">
        <w:rPr>
          <w:rFonts w:ascii="Aptos" w:hAnsi="Aptos"/>
          <w:color w:val="000000"/>
        </w:rPr>
        <w:t>6. LEAST-COST ALTERNATIVES NOT DEMONSTRATED</w:t>
      </w:r>
    </w:p>
    <w:p w14:paraId="638EC54E" w14:textId="77777777" w:rsidR="0079784B" w:rsidRPr="00892B31" w:rsidRDefault="0079784B" w:rsidP="00A93C26">
      <w:pPr>
        <w:jc w:val="both"/>
        <w:rPr>
          <w:rFonts w:ascii="Aptos" w:hAnsi="Aptos"/>
          <w:sz w:val="28"/>
          <w:szCs w:val="28"/>
        </w:rPr>
      </w:pPr>
    </w:p>
    <w:p w14:paraId="32FF4D77" w14:textId="074BA440" w:rsidR="0079784B" w:rsidRPr="00892B31" w:rsidRDefault="00B771E4" w:rsidP="0079784B">
      <w:pPr>
        <w:pStyle w:val="ListParagraph"/>
        <w:numPr>
          <w:ilvl w:val="0"/>
          <w:numId w:val="22"/>
        </w:numPr>
        <w:jc w:val="both"/>
        <w:rPr>
          <w:rFonts w:ascii="Aptos" w:hAnsi="Aptos"/>
          <w:sz w:val="28"/>
          <w:szCs w:val="28"/>
        </w:rPr>
      </w:pPr>
      <w:r w:rsidRPr="00892B31">
        <w:rPr>
          <w:rFonts w:ascii="Aptos" w:hAnsi="Aptos"/>
          <w:sz w:val="28"/>
          <w:szCs w:val="28"/>
        </w:rPr>
        <w:t>Sound utility regulation requires demonstration that proposed investments represent the least-cost pathway to meeting demand reliably. The Commission has not required this demonstration. Available evidence suggests that solar-plus-storage is substantially cheaper than diesel over asset lifecycles, that competitive procurement could reduce costs further, and that concessional climate financing may be available</w:t>
      </w:r>
      <w:r w:rsidR="0079784B" w:rsidRPr="00892B31">
        <w:rPr>
          <w:rFonts w:ascii="Aptos" w:hAnsi="Aptos"/>
          <w:sz w:val="28"/>
          <w:szCs w:val="28"/>
        </w:rPr>
        <w:t>.</w:t>
      </w:r>
    </w:p>
    <w:p w14:paraId="3C5B8FB7" w14:textId="77777777" w:rsidR="0079784B" w:rsidRPr="00892B31" w:rsidRDefault="0079784B" w:rsidP="0079784B">
      <w:pPr>
        <w:pStyle w:val="ListParagraph"/>
        <w:ind w:left="1080"/>
        <w:jc w:val="both"/>
        <w:rPr>
          <w:rFonts w:ascii="Aptos" w:hAnsi="Aptos"/>
          <w:sz w:val="28"/>
          <w:szCs w:val="28"/>
        </w:rPr>
      </w:pPr>
    </w:p>
    <w:p w14:paraId="0B62E089" w14:textId="77777777" w:rsidR="0079784B" w:rsidRPr="00892B31" w:rsidRDefault="00B771E4" w:rsidP="00A93C26">
      <w:pPr>
        <w:pStyle w:val="ListParagraph"/>
        <w:numPr>
          <w:ilvl w:val="0"/>
          <w:numId w:val="22"/>
        </w:numPr>
        <w:jc w:val="both"/>
        <w:rPr>
          <w:rFonts w:ascii="Aptos" w:hAnsi="Aptos"/>
          <w:sz w:val="28"/>
          <w:szCs w:val="28"/>
        </w:rPr>
      </w:pPr>
      <w:r w:rsidRPr="00892B31">
        <w:rPr>
          <w:rFonts w:ascii="Aptos" w:hAnsi="Aptos"/>
          <w:sz w:val="28"/>
          <w:szCs w:val="28"/>
        </w:rPr>
        <w:t xml:space="preserve">The Electricity Act requires that charges reflect only efficient costs. A determination that has not tested whether proposed costs are efficient or whether lower-cost alternatives exist cannot satisfy this statutory requirement. The Commission has not disclosed any analysis demonstrating that EFL's proposed </w:t>
      </w:r>
      <w:r w:rsidRPr="00892B31">
        <w:rPr>
          <w:rFonts w:ascii="Aptos" w:hAnsi="Aptos"/>
          <w:sz w:val="28"/>
          <w:szCs w:val="28"/>
        </w:rPr>
        <w:lastRenderedPageBreak/>
        <w:t>capital program represents the least-cost pathway to meet Fiji's electricity needs.</w:t>
      </w:r>
    </w:p>
    <w:p w14:paraId="6B4C9EB1" w14:textId="77777777" w:rsidR="0079784B" w:rsidRPr="00892B31" w:rsidRDefault="0079784B" w:rsidP="0079784B">
      <w:pPr>
        <w:pStyle w:val="ListParagraph"/>
        <w:rPr>
          <w:rFonts w:ascii="Aptos" w:hAnsi="Aptos"/>
          <w:sz w:val="28"/>
          <w:szCs w:val="28"/>
        </w:rPr>
      </w:pPr>
    </w:p>
    <w:p w14:paraId="3A01389D" w14:textId="77777777" w:rsidR="0079784B" w:rsidRPr="00892B31" w:rsidRDefault="00B771E4" w:rsidP="00A93C26">
      <w:pPr>
        <w:pStyle w:val="ListParagraph"/>
        <w:numPr>
          <w:ilvl w:val="0"/>
          <w:numId w:val="22"/>
        </w:numPr>
        <w:jc w:val="both"/>
        <w:rPr>
          <w:rFonts w:ascii="Aptos" w:hAnsi="Aptos"/>
          <w:sz w:val="28"/>
          <w:szCs w:val="28"/>
        </w:rPr>
      </w:pPr>
      <w:r w:rsidRPr="00892B31">
        <w:rPr>
          <w:rFonts w:ascii="Aptos" w:hAnsi="Aptos"/>
          <w:sz w:val="28"/>
          <w:szCs w:val="28"/>
        </w:rPr>
        <w:t xml:space="preserve">Solar-plus-storage LCOE is approximately FJD 0.10-0.15/kWh with </w:t>
      </w:r>
      <w:proofErr w:type="gramStart"/>
      <w:r w:rsidRPr="00892B31">
        <w:rPr>
          <w:rFonts w:ascii="Aptos" w:hAnsi="Aptos"/>
          <w:sz w:val="28"/>
          <w:szCs w:val="28"/>
        </w:rPr>
        <w:t>20-25 year</w:t>
      </w:r>
      <w:proofErr w:type="gramEnd"/>
      <w:r w:rsidRPr="00892B31">
        <w:rPr>
          <w:rFonts w:ascii="Aptos" w:hAnsi="Aptos"/>
          <w:sz w:val="28"/>
          <w:szCs w:val="28"/>
        </w:rPr>
        <w:t xml:space="preserve"> equipment life and minimal fuel cost. Diesel generation LCOE is approximately FJD 0.35-0.45/kWh with significant fuel price volatility exposure and ongoing maintenance requirements.</w:t>
      </w:r>
      <w:r w:rsidR="0079784B" w:rsidRPr="00892B31">
        <w:rPr>
          <w:rFonts w:ascii="Aptos" w:hAnsi="Aptos"/>
          <w:sz w:val="28"/>
          <w:szCs w:val="28"/>
        </w:rPr>
        <w:t xml:space="preserve"> </w:t>
      </w:r>
      <w:r w:rsidRPr="00892B31">
        <w:rPr>
          <w:rFonts w:ascii="Aptos" w:hAnsi="Aptos"/>
          <w:sz w:val="28"/>
          <w:szCs w:val="28"/>
        </w:rPr>
        <w:t>A regulatory process that approves diesel-intensive capital programs without requiring this lifecycle comparison fails to satisfy statutory efficiency requirements.</w:t>
      </w:r>
    </w:p>
    <w:p w14:paraId="5BE5BA4C" w14:textId="77777777" w:rsidR="0079784B" w:rsidRPr="00892B31" w:rsidRDefault="0079784B" w:rsidP="0079784B">
      <w:pPr>
        <w:pStyle w:val="ListParagraph"/>
        <w:rPr>
          <w:rFonts w:ascii="Aptos" w:hAnsi="Aptos"/>
          <w:sz w:val="28"/>
          <w:szCs w:val="28"/>
        </w:rPr>
      </w:pPr>
    </w:p>
    <w:p w14:paraId="693D28AA" w14:textId="6BE329C0" w:rsidR="0079784B" w:rsidRPr="00892B31" w:rsidRDefault="00B771E4" w:rsidP="00892B31">
      <w:pPr>
        <w:pStyle w:val="ListParagraph"/>
        <w:numPr>
          <w:ilvl w:val="0"/>
          <w:numId w:val="22"/>
        </w:numPr>
        <w:jc w:val="both"/>
        <w:rPr>
          <w:rFonts w:ascii="Aptos" w:hAnsi="Aptos"/>
          <w:sz w:val="28"/>
          <w:szCs w:val="28"/>
        </w:rPr>
      </w:pPr>
      <w:r w:rsidRPr="00892B31">
        <w:rPr>
          <w:rFonts w:ascii="Aptos" w:hAnsi="Aptos"/>
          <w:sz w:val="28"/>
          <w:szCs w:val="28"/>
        </w:rPr>
        <w:t>Fiji has been a global leader in climate advocacy. The Green Climate Fund, Asian Development Bank, World Bank, and bilateral climate programs offer concessional financing specifically for renewable energy transition in Pacific island nations. The Commission should require demonstration that these concessional options have been fully explored before approving consumer-funded capital recovery at commercial rates.</w:t>
      </w:r>
    </w:p>
    <w:p w14:paraId="1D359D72" w14:textId="77777777" w:rsidR="00AA2148" w:rsidRPr="00892B31" w:rsidRDefault="00B771E4">
      <w:pPr>
        <w:pStyle w:val="Heading1"/>
        <w:rPr>
          <w:rFonts w:ascii="Aptos" w:hAnsi="Aptos"/>
        </w:rPr>
      </w:pPr>
      <w:r w:rsidRPr="00892B31">
        <w:rPr>
          <w:rFonts w:ascii="Aptos" w:hAnsi="Aptos"/>
          <w:color w:val="000000"/>
        </w:rPr>
        <w:t>7. PERFORMANCE ACCOUNTABILITY AND PRIOR ALLOWANCES</w:t>
      </w:r>
    </w:p>
    <w:p w14:paraId="4BC56206" w14:textId="77777777" w:rsidR="0079784B" w:rsidRPr="00892B31" w:rsidRDefault="0079784B" w:rsidP="00A93C26">
      <w:pPr>
        <w:jc w:val="both"/>
        <w:rPr>
          <w:rFonts w:ascii="Aptos" w:hAnsi="Aptos"/>
          <w:sz w:val="28"/>
          <w:szCs w:val="28"/>
        </w:rPr>
      </w:pPr>
    </w:p>
    <w:p w14:paraId="7C4816C8" w14:textId="749F0026" w:rsidR="0079784B" w:rsidRPr="00892B31" w:rsidRDefault="00B771E4" w:rsidP="0079784B">
      <w:pPr>
        <w:pStyle w:val="ListParagraph"/>
        <w:numPr>
          <w:ilvl w:val="0"/>
          <w:numId w:val="23"/>
        </w:numPr>
        <w:jc w:val="both"/>
        <w:rPr>
          <w:rFonts w:ascii="Aptos" w:hAnsi="Aptos"/>
          <w:sz w:val="28"/>
          <w:szCs w:val="28"/>
        </w:rPr>
      </w:pPr>
      <w:r w:rsidRPr="00892B31">
        <w:rPr>
          <w:rFonts w:ascii="Aptos" w:hAnsi="Aptos"/>
          <w:sz w:val="28"/>
          <w:szCs w:val="28"/>
        </w:rPr>
        <w:t>In 2019, a</w:t>
      </w:r>
      <w:r w:rsidR="00A93C26" w:rsidRPr="00892B31">
        <w:rPr>
          <w:rFonts w:ascii="Aptos" w:hAnsi="Aptos"/>
          <w:sz w:val="28"/>
          <w:szCs w:val="28"/>
        </w:rPr>
        <w:t>n approximately</w:t>
      </w:r>
      <w:r w:rsidRPr="00892B31">
        <w:rPr>
          <w:rFonts w:ascii="Aptos" w:hAnsi="Aptos"/>
          <w:sz w:val="28"/>
          <w:szCs w:val="28"/>
        </w:rPr>
        <w:t xml:space="preserve"> 2% tariff increase was awarded to EFL for similar objectives</w:t>
      </w:r>
      <w:r w:rsidR="00A93C26" w:rsidRPr="00892B31">
        <w:rPr>
          <w:rFonts w:ascii="Aptos" w:hAnsi="Aptos"/>
          <w:sz w:val="28"/>
          <w:szCs w:val="28"/>
        </w:rPr>
        <w:t xml:space="preserve"> - </w:t>
      </w:r>
      <w:r w:rsidRPr="00892B31">
        <w:rPr>
          <w:rFonts w:ascii="Aptos" w:hAnsi="Aptos"/>
          <w:sz w:val="28"/>
          <w:szCs w:val="28"/>
        </w:rPr>
        <w:t>investment and reliability improvements. The record indicates that EFL did not meet the expected targets associated with that increase. Before approving a new and materially larger increase, the Commission should establish what was delivered against prior commitments.</w:t>
      </w:r>
    </w:p>
    <w:p w14:paraId="44E1D4A3" w14:textId="77777777" w:rsidR="0079784B" w:rsidRPr="00892B31" w:rsidRDefault="0079784B" w:rsidP="0079784B">
      <w:pPr>
        <w:pStyle w:val="ListParagraph"/>
        <w:ind w:left="1080"/>
        <w:jc w:val="both"/>
        <w:rPr>
          <w:rFonts w:ascii="Aptos" w:hAnsi="Aptos"/>
          <w:sz w:val="28"/>
          <w:szCs w:val="28"/>
        </w:rPr>
      </w:pPr>
    </w:p>
    <w:p w14:paraId="53011430" w14:textId="77777777" w:rsidR="0079784B" w:rsidRPr="00892B31" w:rsidRDefault="00B771E4" w:rsidP="00A93C26">
      <w:pPr>
        <w:pStyle w:val="ListParagraph"/>
        <w:numPr>
          <w:ilvl w:val="0"/>
          <w:numId w:val="23"/>
        </w:numPr>
        <w:jc w:val="both"/>
        <w:rPr>
          <w:rFonts w:ascii="Aptos" w:hAnsi="Aptos"/>
          <w:sz w:val="28"/>
          <w:szCs w:val="28"/>
        </w:rPr>
      </w:pPr>
      <w:r w:rsidRPr="00892B31">
        <w:rPr>
          <w:rFonts w:ascii="Aptos" w:hAnsi="Aptos"/>
          <w:sz w:val="28"/>
          <w:szCs w:val="28"/>
        </w:rPr>
        <w:t xml:space="preserve">Before additional revenue allowances are granted, the Commission should require accounting for outcomes delivered under previous allowances. System reliability data raises questions about whether prior tariff approvals achieved their </w:t>
      </w:r>
      <w:r w:rsidRPr="00892B31">
        <w:rPr>
          <w:rFonts w:ascii="Aptos" w:hAnsi="Aptos"/>
          <w:sz w:val="28"/>
          <w:szCs w:val="28"/>
        </w:rPr>
        <w:lastRenderedPageBreak/>
        <w:t>intended improvements</w:t>
      </w:r>
      <w:r w:rsidR="0079784B" w:rsidRPr="00892B31">
        <w:rPr>
          <w:rFonts w:ascii="Aptos" w:hAnsi="Aptos"/>
          <w:sz w:val="28"/>
          <w:szCs w:val="28"/>
        </w:rPr>
        <w:t xml:space="preserve">. </w:t>
      </w:r>
      <w:r w:rsidRPr="00892B31">
        <w:rPr>
          <w:rFonts w:ascii="Aptos" w:hAnsi="Aptos"/>
          <w:sz w:val="28"/>
          <w:szCs w:val="28"/>
        </w:rPr>
        <w:t>Th</w:t>
      </w:r>
      <w:r w:rsidR="00A93C26" w:rsidRPr="00892B31">
        <w:rPr>
          <w:rFonts w:ascii="Aptos" w:hAnsi="Aptos"/>
          <w:sz w:val="28"/>
          <w:szCs w:val="28"/>
        </w:rPr>
        <w:t xml:space="preserve">is frequency of planned outages - </w:t>
      </w:r>
      <w:r w:rsidRPr="00892B31">
        <w:rPr>
          <w:rFonts w:ascii="Aptos" w:hAnsi="Aptos"/>
          <w:sz w:val="28"/>
          <w:szCs w:val="28"/>
        </w:rPr>
        <w:t>near</w:t>
      </w:r>
      <w:r w:rsidR="00A93C26" w:rsidRPr="00892B31">
        <w:rPr>
          <w:rFonts w:ascii="Aptos" w:hAnsi="Aptos"/>
          <w:sz w:val="28"/>
          <w:szCs w:val="28"/>
        </w:rPr>
        <w:t xml:space="preserve">ly six per week - </w:t>
      </w:r>
      <w:r w:rsidRPr="00892B31">
        <w:rPr>
          <w:rFonts w:ascii="Aptos" w:hAnsi="Aptos"/>
          <w:sz w:val="28"/>
          <w:szCs w:val="28"/>
        </w:rPr>
        <w:t>indicates ongoing network constraints that should concern consumers being asked to fund additional capital investment. If previous capital allowances did not resolve these constraints, what assurance exists that additional allowances will do so? Consumers experiencing this level of service disruption have legitimate questions about the effectiveness of prior investm</w:t>
      </w:r>
      <w:r w:rsidR="00A93C26" w:rsidRPr="00892B31">
        <w:rPr>
          <w:rFonts w:ascii="Aptos" w:hAnsi="Aptos"/>
          <w:sz w:val="28"/>
          <w:szCs w:val="28"/>
        </w:rPr>
        <w:t xml:space="preserve">ent. Performance accountability - </w:t>
      </w:r>
      <w:r w:rsidRPr="00892B31">
        <w:rPr>
          <w:rFonts w:ascii="Aptos" w:hAnsi="Aptos"/>
          <w:sz w:val="28"/>
          <w:szCs w:val="28"/>
        </w:rPr>
        <w:t>demonstrating that previous allowances delivered promised ou</w:t>
      </w:r>
      <w:r w:rsidR="00A93C26" w:rsidRPr="00892B31">
        <w:rPr>
          <w:rFonts w:ascii="Aptos" w:hAnsi="Aptos"/>
          <w:sz w:val="28"/>
          <w:szCs w:val="28"/>
        </w:rPr>
        <w:t xml:space="preserve">tcomes before granting new ones - </w:t>
      </w:r>
      <w:r w:rsidRPr="00892B31">
        <w:rPr>
          <w:rFonts w:ascii="Aptos" w:hAnsi="Aptos"/>
          <w:sz w:val="28"/>
          <w:szCs w:val="28"/>
        </w:rPr>
        <w:t>is a fundamental element of regulatory oversight.</w:t>
      </w:r>
    </w:p>
    <w:p w14:paraId="6B70538C" w14:textId="77777777" w:rsidR="0079784B" w:rsidRPr="00892B31" w:rsidRDefault="0079784B" w:rsidP="0079784B">
      <w:pPr>
        <w:pStyle w:val="ListParagraph"/>
        <w:rPr>
          <w:rFonts w:ascii="Aptos" w:hAnsi="Aptos"/>
          <w:sz w:val="28"/>
          <w:szCs w:val="28"/>
        </w:rPr>
      </w:pPr>
    </w:p>
    <w:p w14:paraId="77E0341E" w14:textId="77777777" w:rsidR="0079784B" w:rsidRPr="00892B31" w:rsidRDefault="00B771E4" w:rsidP="0079784B">
      <w:pPr>
        <w:pStyle w:val="ListParagraph"/>
        <w:numPr>
          <w:ilvl w:val="0"/>
          <w:numId w:val="23"/>
        </w:numPr>
        <w:jc w:val="both"/>
        <w:rPr>
          <w:rFonts w:ascii="Aptos" w:hAnsi="Aptos"/>
          <w:sz w:val="28"/>
          <w:szCs w:val="28"/>
        </w:rPr>
      </w:pPr>
      <w:r w:rsidRPr="00892B31">
        <w:rPr>
          <w:rFonts w:ascii="Aptos" w:hAnsi="Aptos"/>
          <w:sz w:val="28"/>
          <w:szCs w:val="28"/>
        </w:rPr>
        <w:t xml:space="preserve">EFL's own published data reveals a pattern of ongoing reliability issues that raise questions about operational performance. Analysis of EFL's unplanned outages webpage (accessed </w:t>
      </w:r>
      <w:r w:rsidR="00910C64" w:rsidRPr="00892B31">
        <w:rPr>
          <w:rFonts w:ascii="Aptos" w:hAnsi="Aptos"/>
          <w:sz w:val="28"/>
          <w:szCs w:val="28"/>
        </w:rPr>
        <w:t>9</w:t>
      </w:r>
      <w:r w:rsidRPr="00892B31">
        <w:rPr>
          <w:rFonts w:ascii="Aptos" w:hAnsi="Aptos"/>
          <w:sz w:val="28"/>
          <w:szCs w:val="28"/>
        </w:rPr>
        <w:t xml:space="preserve"> January 2026) shows:</w:t>
      </w:r>
    </w:p>
    <w:p w14:paraId="6F3C577C" w14:textId="77777777" w:rsidR="0079784B" w:rsidRPr="00892B31" w:rsidRDefault="0079784B" w:rsidP="0079784B">
      <w:pPr>
        <w:pStyle w:val="ListParagraph"/>
        <w:rPr>
          <w:rFonts w:ascii="Aptos" w:hAnsi="Aptos"/>
          <w:sz w:val="28"/>
          <w:szCs w:val="28"/>
        </w:rPr>
      </w:pPr>
    </w:p>
    <w:p w14:paraId="0FBC6E8A" w14:textId="77777777" w:rsidR="00BA7416" w:rsidRPr="00892B31" w:rsidRDefault="00B771E4" w:rsidP="00BA7416">
      <w:pPr>
        <w:pStyle w:val="ListParagraph"/>
        <w:numPr>
          <w:ilvl w:val="2"/>
          <w:numId w:val="23"/>
        </w:numPr>
        <w:jc w:val="both"/>
        <w:rPr>
          <w:rFonts w:ascii="Aptos" w:hAnsi="Aptos"/>
          <w:sz w:val="28"/>
          <w:szCs w:val="28"/>
        </w:rPr>
      </w:pPr>
      <w:r w:rsidRPr="00892B31">
        <w:rPr>
          <w:rFonts w:ascii="Aptos" w:hAnsi="Aptos"/>
          <w:sz w:val="28"/>
          <w:szCs w:val="28"/>
        </w:rPr>
        <w:t>89+ unplanned outages recorded over approximately 53 days (mid-November 2025 to January 2026)</w:t>
      </w:r>
    </w:p>
    <w:p w14:paraId="04CD47EF" w14:textId="77777777" w:rsidR="00BA7416" w:rsidRPr="00892B31" w:rsidRDefault="00B771E4" w:rsidP="00BA7416">
      <w:pPr>
        <w:pStyle w:val="ListParagraph"/>
        <w:numPr>
          <w:ilvl w:val="2"/>
          <w:numId w:val="23"/>
        </w:numPr>
        <w:jc w:val="both"/>
        <w:rPr>
          <w:rFonts w:ascii="Aptos" w:hAnsi="Aptos"/>
          <w:sz w:val="28"/>
          <w:szCs w:val="28"/>
        </w:rPr>
      </w:pPr>
      <w:r w:rsidRPr="00892B31">
        <w:rPr>
          <w:rFonts w:ascii="Aptos" w:hAnsi="Aptos"/>
          <w:sz w:val="28"/>
          <w:szCs w:val="28"/>
        </w:rPr>
        <w:t xml:space="preserve">Average of approximately </w:t>
      </w:r>
      <w:r w:rsidRPr="00892B31">
        <w:rPr>
          <w:rFonts w:ascii="Aptos" w:hAnsi="Aptos"/>
          <w:b/>
          <w:sz w:val="28"/>
          <w:szCs w:val="28"/>
        </w:rPr>
        <w:t>1.7 unplanned outages per day</w:t>
      </w:r>
      <w:r w:rsidRPr="00892B31">
        <w:rPr>
          <w:rFonts w:ascii="Aptos" w:hAnsi="Aptos"/>
          <w:sz w:val="28"/>
          <w:szCs w:val="28"/>
        </w:rPr>
        <w:t xml:space="preserve"> across the network</w:t>
      </w:r>
    </w:p>
    <w:p w14:paraId="501F5876" w14:textId="77777777" w:rsidR="00BA7416" w:rsidRPr="00892B31" w:rsidRDefault="00B771E4" w:rsidP="00BA7416">
      <w:pPr>
        <w:pStyle w:val="ListParagraph"/>
        <w:numPr>
          <w:ilvl w:val="2"/>
          <w:numId w:val="23"/>
        </w:numPr>
        <w:jc w:val="both"/>
        <w:rPr>
          <w:rFonts w:ascii="Aptos" w:hAnsi="Aptos"/>
          <w:sz w:val="28"/>
          <w:szCs w:val="28"/>
        </w:rPr>
      </w:pPr>
      <w:r w:rsidRPr="00892B31">
        <w:rPr>
          <w:rFonts w:ascii="Aptos" w:hAnsi="Aptos"/>
          <w:sz w:val="28"/>
          <w:szCs w:val="28"/>
        </w:rPr>
        <w:t>Many outages marked with 'No definite timeframe' for restoration</w:t>
      </w:r>
    </w:p>
    <w:p w14:paraId="4C82792C" w14:textId="6FB6BA8B" w:rsidR="00AA2148" w:rsidRPr="00892B31" w:rsidRDefault="00B771E4" w:rsidP="00BA7416">
      <w:pPr>
        <w:pStyle w:val="ListParagraph"/>
        <w:numPr>
          <w:ilvl w:val="2"/>
          <w:numId w:val="23"/>
        </w:numPr>
        <w:jc w:val="both"/>
        <w:rPr>
          <w:rFonts w:ascii="Aptos" w:hAnsi="Aptos"/>
          <w:sz w:val="28"/>
          <w:szCs w:val="28"/>
        </w:rPr>
      </w:pPr>
      <w:r w:rsidRPr="00892B31">
        <w:rPr>
          <w:rFonts w:ascii="Aptos" w:hAnsi="Aptos"/>
          <w:sz w:val="28"/>
          <w:szCs w:val="28"/>
        </w:rPr>
        <w:t>Causes include: undetermined faults, broken conductors/poles, faulty transformers, fallen trees, vehicle accidents, underground cable faults</w:t>
      </w:r>
    </w:p>
    <w:p w14:paraId="7431F875" w14:textId="77777777" w:rsidR="00BA7416" w:rsidRPr="00892B31" w:rsidRDefault="00B771E4" w:rsidP="00BA7416">
      <w:pPr>
        <w:ind w:left="720"/>
        <w:jc w:val="both"/>
        <w:rPr>
          <w:rFonts w:ascii="Aptos" w:hAnsi="Aptos"/>
          <w:sz w:val="28"/>
          <w:szCs w:val="28"/>
        </w:rPr>
      </w:pPr>
      <w:r w:rsidRPr="00892B31">
        <w:rPr>
          <w:rFonts w:ascii="Aptos" w:hAnsi="Aptos"/>
          <w:sz w:val="28"/>
          <w:szCs w:val="28"/>
        </w:rPr>
        <w:t>This</w:t>
      </w:r>
      <w:r w:rsidR="00A93C26" w:rsidRPr="00892B31">
        <w:rPr>
          <w:rFonts w:ascii="Aptos" w:hAnsi="Aptos"/>
          <w:sz w:val="28"/>
          <w:szCs w:val="28"/>
        </w:rPr>
        <w:t xml:space="preserve"> frequency of unplanned outages - averaging nearly two per day - </w:t>
      </w:r>
      <w:r w:rsidRPr="00892B31">
        <w:rPr>
          <w:rFonts w:ascii="Aptos" w:hAnsi="Aptos"/>
          <w:sz w:val="28"/>
          <w:szCs w:val="28"/>
        </w:rPr>
        <w:t>raises questions about whether prior tariff allowances have been effectively deployed to improve reliability. Approving major tariff increases without reconciliation of prior performance creates a cycle of 'increase → under-delivery → further increase' that does not serve consumer interests.</w:t>
      </w:r>
    </w:p>
    <w:p w14:paraId="133ED7FC" w14:textId="339B9F10" w:rsidR="007B5272" w:rsidRPr="00892B31" w:rsidRDefault="007B5272" w:rsidP="00BA7416">
      <w:pPr>
        <w:jc w:val="both"/>
        <w:rPr>
          <w:rFonts w:ascii="Aptos" w:hAnsi="Aptos"/>
          <w:sz w:val="28"/>
          <w:szCs w:val="28"/>
        </w:rPr>
      </w:pPr>
      <w:r w:rsidRPr="00892B31">
        <w:rPr>
          <w:rFonts w:ascii="Aptos" w:hAnsi="Aptos"/>
          <w:sz w:val="28"/>
          <w:szCs w:val="28"/>
        </w:rPr>
        <w:lastRenderedPageBreak/>
        <w:t>EFL’s tariffs are based on a Regulated Asset Base (RAB) model, which allows for a fair return on planned investment. Consistent underspending against approved capital budgets raises further questions about the execution of prior allowances:</w:t>
      </w:r>
    </w:p>
    <w:p w14:paraId="6CF0A49A" w14:textId="77777777" w:rsidR="007B5272" w:rsidRPr="00892B31" w:rsidRDefault="007B5272" w:rsidP="00A93C26">
      <w:pPr>
        <w:pStyle w:val="ListBullet"/>
        <w:numPr>
          <w:ilvl w:val="0"/>
          <w:numId w:val="0"/>
        </w:numPr>
        <w:ind w:left="360" w:hanging="360"/>
        <w:jc w:val="both"/>
        <w:rPr>
          <w:rFonts w:ascii="Aptos" w:hAnsi="Aptos"/>
          <w:sz w:val="28"/>
          <w:szCs w:val="28"/>
        </w:rPr>
      </w:pPr>
    </w:p>
    <w:p w14:paraId="66E7A1C7" w14:textId="77777777" w:rsidR="007B5272" w:rsidRPr="00892B31" w:rsidRDefault="007B5272" w:rsidP="00A93C26">
      <w:pPr>
        <w:pStyle w:val="ListBullet"/>
        <w:numPr>
          <w:ilvl w:val="0"/>
          <w:numId w:val="10"/>
        </w:numPr>
        <w:jc w:val="both"/>
        <w:rPr>
          <w:rFonts w:ascii="Aptos" w:hAnsi="Aptos"/>
          <w:sz w:val="28"/>
          <w:szCs w:val="28"/>
        </w:rPr>
      </w:pPr>
      <w:r w:rsidRPr="00892B31">
        <w:rPr>
          <w:rFonts w:ascii="Aptos" w:hAnsi="Aptos"/>
          <w:sz w:val="28"/>
          <w:szCs w:val="28"/>
        </w:rPr>
        <w:t>In 2022, EFL’s Board approved a capital expenditure budget of $145.83 million, but only $52.91 million was spent.</w:t>
      </w:r>
    </w:p>
    <w:p w14:paraId="5F36369E" w14:textId="77777777" w:rsidR="007B5272" w:rsidRPr="00892B31" w:rsidRDefault="007B5272" w:rsidP="00A93C26">
      <w:pPr>
        <w:pStyle w:val="ListBullet"/>
        <w:numPr>
          <w:ilvl w:val="0"/>
          <w:numId w:val="10"/>
        </w:numPr>
        <w:jc w:val="both"/>
        <w:rPr>
          <w:rFonts w:ascii="Aptos" w:hAnsi="Aptos"/>
          <w:sz w:val="28"/>
          <w:szCs w:val="28"/>
        </w:rPr>
      </w:pPr>
      <w:r w:rsidRPr="00892B31">
        <w:rPr>
          <w:rFonts w:ascii="Aptos" w:hAnsi="Aptos"/>
          <w:sz w:val="28"/>
          <w:szCs w:val="28"/>
        </w:rPr>
        <w:t>In 2024, EFL spent $172 million against a budgeted $234 million.</w:t>
      </w:r>
    </w:p>
    <w:p w14:paraId="253EAC04" w14:textId="77777777" w:rsidR="00BA7416" w:rsidRPr="00892B31" w:rsidRDefault="00BA7416" w:rsidP="00BA7416">
      <w:pPr>
        <w:pStyle w:val="ListBullet"/>
        <w:numPr>
          <w:ilvl w:val="0"/>
          <w:numId w:val="0"/>
        </w:numPr>
        <w:jc w:val="both"/>
        <w:rPr>
          <w:rFonts w:ascii="Aptos" w:hAnsi="Aptos"/>
          <w:sz w:val="28"/>
          <w:szCs w:val="28"/>
        </w:rPr>
      </w:pPr>
    </w:p>
    <w:p w14:paraId="779966E3" w14:textId="45DE7428" w:rsidR="007B5272" w:rsidRPr="00892B31" w:rsidRDefault="007B5272" w:rsidP="00BA7416">
      <w:pPr>
        <w:pStyle w:val="ListBullet"/>
        <w:numPr>
          <w:ilvl w:val="0"/>
          <w:numId w:val="23"/>
        </w:numPr>
        <w:jc w:val="both"/>
        <w:rPr>
          <w:rFonts w:ascii="Aptos" w:hAnsi="Aptos"/>
          <w:sz w:val="28"/>
          <w:szCs w:val="28"/>
        </w:rPr>
      </w:pPr>
      <w:r w:rsidRPr="00892B31">
        <w:rPr>
          <w:rFonts w:ascii="Aptos" w:hAnsi="Aptos"/>
          <w:sz w:val="28"/>
          <w:szCs w:val="28"/>
        </w:rPr>
        <w:t>Under the tariff methodology, underspending against appr</w:t>
      </w:r>
      <w:r w:rsidR="004D09B4" w:rsidRPr="00892B31">
        <w:rPr>
          <w:rFonts w:ascii="Aptos" w:hAnsi="Aptos"/>
          <w:sz w:val="28"/>
          <w:szCs w:val="28"/>
        </w:rPr>
        <w:t xml:space="preserve">oved capital expenditure should </w:t>
      </w:r>
      <w:r w:rsidRPr="00892B31">
        <w:rPr>
          <w:rFonts w:ascii="Aptos" w:hAnsi="Aptos"/>
          <w:sz w:val="28"/>
          <w:szCs w:val="28"/>
        </w:rPr>
        <w:t xml:space="preserve">result in a </w:t>
      </w:r>
      <w:r w:rsidRPr="00892B31">
        <w:rPr>
          <w:rFonts w:ascii="Aptos" w:hAnsi="Aptos"/>
          <w:b/>
          <w:sz w:val="28"/>
          <w:szCs w:val="28"/>
        </w:rPr>
        <w:t>downward adjustment</w:t>
      </w:r>
      <w:r w:rsidRPr="00892B31">
        <w:rPr>
          <w:rFonts w:ascii="Aptos" w:hAnsi="Aptos"/>
          <w:sz w:val="28"/>
          <w:szCs w:val="28"/>
        </w:rPr>
        <w:t xml:space="preserve"> to tariffs. The Commission has not explained why a massive revenue increase is being granted when EFL has consistently failed to spend the capital allowances already provided through previous tariff determinations, including the 2019 increase.</w:t>
      </w:r>
    </w:p>
    <w:p w14:paraId="1D3004E4" w14:textId="371ACDCE" w:rsidR="00AA2148" w:rsidRPr="00892B31" w:rsidRDefault="00B16C0E">
      <w:pPr>
        <w:pStyle w:val="Heading1"/>
        <w:rPr>
          <w:rFonts w:ascii="Aptos" w:hAnsi="Aptos"/>
        </w:rPr>
      </w:pPr>
      <w:r>
        <w:rPr>
          <w:rFonts w:ascii="Aptos" w:hAnsi="Aptos"/>
          <w:color w:val="000000"/>
        </w:rPr>
        <w:t xml:space="preserve">RECOMMENDATION </w:t>
      </w:r>
    </w:p>
    <w:p w14:paraId="747F40DD" w14:textId="77777777" w:rsidR="00B16C0E" w:rsidRDefault="00B16C0E" w:rsidP="00A93C26">
      <w:pPr>
        <w:jc w:val="both"/>
        <w:rPr>
          <w:rFonts w:ascii="Aptos" w:hAnsi="Aptos"/>
          <w:sz w:val="28"/>
          <w:szCs w:val="28"/>
        </w:rPr>
      </w:pPr>
    </w:p>
    <w:p w14:paraId="75E35CD8" w14:textId="77777777" w:rsidR="00B16C0E" w:rsidRDefault="00B771E4" w:rsidP="00B16C0E">
      <w:pPr>
        <w:jc w:val="both"/>
        <w:rPr>
          <w:rFonts w:ascii="Aptos" w:hAnsi="Aptos"/>
          <w:sz w:val="28"/>
          <w:szCs w:val="28"/>
        </w:rPr>
      </w:pPr>
      <w:r w:rsidRPr="00892B31">
        <w:rPr>
          <w:rFonts w:ascii="Aptos" w:hAnsi="Aptos"/>
          <w:sz w:val="28"/>
          <w:szCs w:val="28"/>
        </w:rPr>
        <w:t xml:space="preserve">For the reasons set out in this submission, FCEF </w:t>
      </w:r>
      <w:r w:rsidR="00B16C0E">
        <w:rPr>
          <w:rFonts w:ascii="Aptos" w:hAnsi="Aptos"/>
          <w:sz w:val="28"/>
          <w:szCs w:val="28"/>
        </w:rPr>
        <w:t>strongly recommends that:</w:t>
      </w:r>
    </w:p>
    <w:p w14:paraId="2D8E5B50" w14:textId="00078731" w:rsidR="00B16C0E" w:rsidRDefault="00B16C0E" w:rsidP="00B16C0E">
      <w:pPr>
        <w:pStyle w:val="ListParagraph"/>
        <w:numPr>
          <w:ilvl w:val="1"/>
          <w:numId w:val="10"/>
        </w:numPr>
        <w:jc w:val="both"/>
        <w:rPr>
          <w:rFonts w:ascii="Aptos" w:hAnsi="Aptos"/>
          <w:sz w:val="28"/>
          <w:szCs w:val="28"/>
        </w:rPr>
      </w:pPr>
      <w:r w:rsidRPr="00B16C0E">
        <w:rPr>
          <w:rFonts w:ascii="Aptos" w:hAnsi="Aptos"/>
          <w:sz w:val="28"/>
          <w:szCs w:val="28"/>
        </w:rPr>
        <w:t xml:space="preserve">FCCC </w:t>
      </w:r>
      <w:r w:rsidRPr="00B16C0E">
        <w:rPr>
          <w:rFonts w:ascii="Aptos" w:hAnsi="Aptos"/>
          <w:bCs/>
          <w:sz w:val="28"/>
          <w:szCs w:val="28"/>
        </w:rPr>
        <w:t>s</w:t>
      </w:r>
      <w:r w:rsidR="00B771E4" w:rsidRPr="00B16C0E">
        <w:rPr>
          <w:rFonts w:ascii="Aptos" w:hAnsi="Aptos"/>
          <w:sz w:val="28"/>
          <w:szCs w:val="28"/>
        </w:rPr>
        <w:t>et aside the determination</w:t>
      </w:r>
      <w:r w:rsidRPr="00B16C0E">
        <w:rPr>
          <w:rFonts w:ascii="Aptos" w:hAnsi="Aptos"/>
          <w:sz w:val="28"/>
          <w:szCs w:val="28"/>
        </w:rPr>
        <w:t xml:space="preserve"> </w:t>
      </w:r>
      <w:r w:rsidR="00B771E4" w:rsidRPr="00B16C0E">
        <w:rPr>
          <w:rFonts w:ascii="Aptos" w:hAnsi="Aptos"/>
          <w:sz w:val="28"/>
          <w:szCs w:val="28"/>
        </w:rPr>
        <w:t>of 19 December 2025 in its entirety</w:t>
      </w:r>
      <w:r w:rsidRPr="00B16C0E">
        <w:rPr>
          <w:rFonts w:ascii="Aptos" w:hAnsi="Aptos"/>
          <w:sz w:val="28"/>
          <w:szCs w:val="28"/>
        </w:rPr>
        <w:t>/decline EFL’s May 2023 submission.</w:t>
      </w:r>
    </w:p>
    <w:p w14:paraId="2B84CDC6" w14:textId="77777777" w:rsidR="00B16C0E" w:rsidRDefault="00B16C0E" w:rsidP="00B16C0E">
      <w:pPr>
        <w:pStyle w:val="ListParagraph"/>
        <w:ind w:left="1440"/>
        <w:jc w:val="both"/>
        <w:rPr>
          <w:rFonts w:ascii="Aptos" w:hAnsi="Aptos"/>
          <w:sz w:val="28"/>
          <w:szCs w:val="28"/>
        </w:rPr>
      </w:pPr>
    </w:p>
    <w:p w14:paraId="1FCE4475" w14:textId="441405E2" w:rsidR="00B16C0E" w:rsidRPr="00B16C0E" w:rsidRDefault="00B16C0E" w:rsidP="00B16C0E">
      <w:pPr>
        <w:pStyle w:val="ListParagraph"/>
        <w:numPr>
          <w:ilvl w:val="1"/>
          <w:numId w:val="10"/>
        </w:numPr>
        <w:jc w:val="both"/>
        <w:rPr>
          <w:rFonts w:ascii="Aptos" w:hAnsi="Aptos"/>
          <w:sz w:val="28"/>
          <w:szCs w:val="28"/>
        </w:rPr>
      </w:pPr>
      <w:r>
        <w:rPr>
          <w:rFonts w:ascii="Aptos" w:hAnsi="Aptos"/>
          <w:sz w:val="28"/>
          <w:szCs w:val="28"/>
        </w:rPr>
        <w:t>EFL be provided with an opportunity to make a new submission, ensuring that the specific issues highlighted in this submission is addressed, including full disclosures. Based on this new submission, FCCC institutes a fresh process that involves meaningful and genuine consultation and make</w:t>
      </w:r>
      <w:r w:rsidR="00A41F59">
        <w:rPr>
          <w:rFonts w:ascii="Aptos" w:hAnsi="Aptos"/>
          <w:sz w:val="28"/>
          <w:szCs w:val="28"/>
        </w:rPr>
        <w:t>s</w:t>
      </w:r>
      <w:r>
        <w:rPr>
          <w:rFonts w:ascii="Aptos" w:hAnsi="Aptos"/>
          <w:sz w:val="28"/>
          <w:szCs w:val="28"/>
        </w:rPr>
        <w:t xml:space="preserve"> its independent determination.</w:t>
      </w:r>
    </w:p>
    <w:p w14:paraId="19331C3A" w14:textId="77777777" w:rsidR="00B16C0E" w:rsidRPr="00B16C0E" w:rsidRDefault="00B16C0E" w:rsidP="00B16C0E">
      <w:pPr>
        <w:pStyle w:val="ListParagraph"/>
        <w:rPr>
          <w:rFonts w:ascii="Aptos" w:hAnsi="Aptos"/>
          <w:sz w:val="28"/>
          <w:szCs w:val="28"/>
        </w:rPr>
      </w:pPr>
    </w:p>
    <w:p w14:paraId="21DC3D94" w14:textId="77777777" w:rsidR="00B16C0E" w:rsidRPr="00B16C0E" w:rsidRDefault="00B16C0E" w:rsidP="00B16C0E">
      <w:pPr>
        <w:pStyle w:val="ListParagraph"/>
        <w:ind w:left="1440"/>
        <w:jc w:val="both"/>
        <w:rPr>
          <w:rFonts w:ascii="Aptos" w:hAnsi="Aptos"/>
          <w:sz w:val="28"/>
          <w:szCs w:val="28"/>
        </w:rPr>
      </w:pPr>
    </w:p>
    <w:p w14:paraId="330B6D4C" w14:textId="70D99A34" w:rsidR="00B16C0E" w:rsidRDefault="00B16C0E" w:rsidP="00B16C0E">
      <w:pPr>
        <w:jc w:val="both"/>
        <w:rPr>
          <w:rFonts w:ascii="Aptos" w:hAnsi="Aptos"/>
          <w:sz w:val="28"/>
          <w:szCs w:val="28"/>
        </w:rPr>
      </w:pPr>
    </w:p>
    <w:p w14:paraId="320053EE" w14:textId="2F96B175" w:rsidR="00AA2148" w:rsidRPr="00892B31" w:rsidRDefault="00B771E4">
      <w:pPr>
        <w:pStyle w:val="Heading1"/>
        <w:rPr>
          <w:rFonts w:ascii="Aptos" w:hAnsi="Aptos"/>
        </w:rPr>
      </w:pPr>
      <w:r w:rsidRPr="00892B31">
        <w:rPr>
          <w:rFonts w:ascii="Aptos" w:hAnsi="Aptos"/>
          <w:color w:val="000000"/>
        </w:rPr>
        <w:lastRenderedPageBreak/>
        <w:t>DATA SOURCES</w:t>
      </w:r>
    </w:p>
    <w:p w14:paraId="51A0A827" w14:textId="77777777" w:rsidR="00CF1EA5" w:rsidRPr="00892B31" w:rsidRDefault="00CF1EA5" w:rsidP="00CF1EA5">
      <w:pPr>
        <w:spacing w:after="0"/>
        <w:rPr>
          <w:rFonts w:ascii="Aptos" w:hAnsi="Aptos"/>
          <w:sz w:val="28"/>
          <w:szCs w:val="28"/>
        </w:rPr>
      </w:pPr>
    </w:p>
    <w:p w14:paraId="1B5FC014" w14:textId="77777777" w:rsidR="00F91807" w:rsidRPr="00892B31" w:rsidRDefault="00F91807" w:rsidP="00F91807">
      <w:pPr>
        <w:rPr>
          <w:rFonts w:ascii="Aptos" w:hAnsi="Aptos"/>
          <w:sz w:val="28"/>
          <w:szCs w:val="28"/>
        </w:rPr>
      </w:pPr>
      <w:r w:rsidRPr="00892B31">
        <w:rPr>
          <w:rFonts w:ascii="Aptos" w:hAnsi="Aptos"/>
          <w:sz w:val="28"/>
          <w:szCs w:val="28"/>
        </w:rPr>
        <w:t>This submission draws on the following publicly available sources:</w:t>
      </w:r>
    </w:p>
    <w:p w14:paraId="435885EC"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EFL Annual Reports 2015–2024</w:t>
      </w:r>
    </w:p>
    <w:p w14:paraId="36169397"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FCCC Media Release: 'FCCC Announces New Electricity Tariffs' (19 December 2025)</w:t>
      </w:r>
    </w:p>
    <w:p w14:paraId="1B28CE11"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EFL Media Statements (January 2026)</w:t>
      </w:r>
    </w:p>
    <w:p w14:paraId="07761D39"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EFL Unplanned Outages webpage (accessed 9 January 2026)</w:t>
      </w:r>
    </w:p>
    <w:p w14:paraId="594BCC47"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EFL Facebook page: Planned outage notices (31 December 2024 – 7 January 2026)</w:t>
      </w:r>
    </w:p>
    <w:p w14:paraId="4BE89EF4"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 xml:space="preserve">Public statements by the Minister for Finance on EFL </w:t>
      </w:r>
      <w:proofErr w:type="spellStart"/>
      <w:r w:rsidRPr="00892B31">
        <w:rPr>
          <w:rFonts w:ascii="Aptos" w:hAnsi="Aptos"/>
          <w:sz w:val="28"/>
          <w:szCs w:val="28"/>
        </w:rPr>
        <w:t>privatisation</w:t>
      </w:r>
      <w:proofErr w:type="spellEnd"/>
      <w:r w:rsidRPr="00892B31">
        <w:rPr>
          <w:rFonts w:ascii="Aptos" w:hAnsi="Aptos"/>
          <w:sz w:val="28"/>
          <w:szCs w:val="28"/>
        </w:rPr>
        <w:t xml:space="preserve"> safeguards (2025–2026)</w:t>
      </w:r>
    </w:p>
    <w:p w14:paraId="3626C458"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 xml:space="preserve">Fijian Government and EFL statements on 2018 partial </w:t>
      </w:r>
      <w:proofErr w:type="spellStart"/>
      <w:r w:rsidRPr="00892B31">
        <w:rPr>
          <w:rFonts w:ascii="Aptos" w:hAnsi="Aptos"/>
          <w:sz w:val="28"/>
          <w:szCs w:val="28"/>
        </w:rPr>
        <w:t>privatisation</w:t>
      </w:r>
      <w:proofErr w:type="spellEnd"/>
      <w:r w:rsidRPr="00892B31">
        <w:rPr>
          <w:rFonts w:ascii="Aptos" w:hAnsi="Aptos"/>
          <w:sz w:val="28"/>
          <w:szCs w:val="28"/>
        </w:rPr>
        <w:t xml:space="preserve"> proceeds</w:t>
      </w:r>
    </w:p>
    <w:p w14:paraId="0847254F"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Reserve Bank of Fiji Economic Statistics</w:t>
      </w:r>
    </w:p>
    <w:p w14:paraId="2C6F0A2A"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Fiji Bureau of Statistics: Census 2017, Population Projections</w:t>
      </w:r>
    </w:p>
    <w:p w14:paraId="3AE5A528"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IRENA: Renewable Power Generation Costs Reports (2022–2024)</w:t>
      </w:r>
    </w:p>
    <w:p w14:paraId="16FDB657" w14:textId="77777777" w:rsidR="00F91807" w:rsidRPr="00892B31" w:rsidRDefault="00F91807" w:rsidP="00F91807">
      <w:pPr>
        <w:numPr>
          <w:ilvl w:val="0"/>
          <w:numId w:val="15"/>
        </w:numPr>
        <w:spacing w:after="0"/>
        <w:rPr>
          <w:rFonts w:ascii="Aptos" w:hAnsi="Aptos"/>
          <w:sz w:val="28"/>
          <w:szCs w:val="28"/>
        </w:rPr>
      </w:pPr>
      <w:proofErr w:type="spellStart"/>
      <w:r w:rsidRPr="00892B31">
        <w:rPr>
          <w:rFonts w:ascii="Aptos" w:hAnsi="Aptos"/>
          <w:sz w:val="28"/>
          <w:szCs w:val="28"/>
        </w:rPr>
        <w:t>BloombergNEF</w:t>
      </w:r>
      <w:proofErr w:type="spellEnd"/>
      <w:r w:rsidRPr="00892B31">
        <w:rPr>
          <w:rFonts w:ascii="Aptos" w:hAnsi="Aptos"/>
          <w:sz w:val="28"/>
          <w:szCs w:val="28"/>
        </w:rPr>
        <w:t>: Lithium-Ion Battery Price Survey 2024</w:t>
      </w:r>
    </w:p>
    <w:p w14:paraId="1E48F409"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World Bank: Global Electricity Regulatory Index (GERI)</w:t>
      </w:r>
    </w:p>
    <w:p w14:paraId="6FC6BB3C"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World Bank/PPIAF: Tariff-Setting Guidelines</w:t>
      </w:r>
    </w:p>
    <w:p w14:paraId="3609CEF4"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Various submissions from FCEF membership across all sectors (21 December 2025 to 10 January 2026)</w:t>
      </w:r>
    </w:p>
    <w:p w14:paraId="31553EAF" w14:textId="77777777" w:rsidR="00F91807" w:rsidRPr="00892B31" w:rsidRDefault="00F91807" w:rsidP="00F91807">
      <w:pPr>
        <w:numPr>
          <w:ilvl w:val="0"/>
          <w:numId w:val="15"/>
        </w:numPr>
        <w:spacing w:after="0"/>
        <w:rPr>
          <w:rFonts w:ascii="Aptos" w:hAnsi="Aptos"/>
          <w:sz w:val="28"/>
          <w:szCs w:val="28"/>
        </w:rPr>
      </w:pPr>
      <w:r w:rsidRPr="00892B31">
        <w:rPr>
          <w:rFonts w:ascii="Aptos" w:hAnsi="Aptos"/>
          <w:sz w:val="28"/>
          <w:szCs w:val="28"/>
        </w:rPr>
        <w:t>Various media reports (Fiji Sun, Fiji Times, Fiji Village, FBC News)</w:t>
      </w:r>
    </w:p>
    <w:p w14:paraId="2E528376" w14:textId="77777777" w:rsidR="00AA2148" w:rsidRPr="00892B31" w:rsidRDefault="00AA2148">
      <w:pPr>
        <w:rPr>
          <w:rFonts w:ascii="Aptos" w:hAnsi="Aptos"/>
          <w:sz w:val="28"/>
          <w:szCs w:val="28"/>
        </w:rPr>
      </w:pPr>
    </w:p>
    <w:p w14:paraId="2E8A0F13" w14:textId="77777777" w:rsidR="00F37A77" w:rsidRPr="00892B31" w:rsidRDefault="00F37A77">
      <w:pPr>
        <w:rPr>
          <w:rFonts w:ascii="Aptos" w:hAnsi="Aptos"/>
          <w:sz w:val="28"/>
          <w:szCs w:val="28"/>
        </w:rPr>
      </w:pPr>
    </w:p>
    <w:p w14:paraId="01711124" w14:textId="77777777" w:rsidR="00CF1EA5" w:rsidRPr="00892B31" w:rsidRDefault="00CF1EA5">
      <w:pPr>
        <w:rPr>
          <w:rFonts w:ascii="Aptos" w:hAnsi="Aptos"/>
          <w:sz w:val="28"/>
          <w:szCs w:val="28"/>
        </w:rPr>
      </w:pPr>
    </w:p>
    <w:p w14:paraId="69AB3F42" w14:textId="77777777" w:rsidR="00AA2148" w:rsidRPr="00892B31" w:rsidRDefault="00B771E4">
      <w:pPr>
        <w:jc w:val="center"/>
        <w:rPr>
          <w:rFonts w:ascii="Aptos" w:hAnsi="Aptos"/>
          <w:sz w:val="28"/>
          <w:szCs w:val="28"/>
        </w:rPr>
      </w:pPr>
      <w:r w:rsidRPr="00892B31">
        <w:rPr>
          <w:rFonts w:ascii="Aptos" w:hAnsi="Aptos"/>
          <w:b/>
          <w:sz w:val="28"/>
          <w:szCs w:val="28"/>
        </w:rPr>
        <w:t>— END OF SUBMISSION —</w:t>
      </w:r>
    </w:p>
    <w:sectPr w:rsidR="00AA2148" w:rsidRPr="00892B31" w:rsidSect="00CB435D">
      <w:footerReference w:type="default" r:id="rId9"/>
      <w:pgSz w:w="12240" w:h="15840"/>
      <w:pgMar w:top="1440" w:right="1183" w:bottom="1134" w:left="2127"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A8A15" w14:textId="77777777" w:rsidR="00770AB2" w:rsidRDefault="00770AB2" w:rsidP="00CB435D">
      <w:pPr>
        <w:spacing w:after="0" w:line="240" w:lineRule="auto"/>
      </w:pPr>
      <w:r>
        <w:separator/>
      </w:r>
    </w:p>
  </w:endnote>
  <w:endnote w:type="continuationSeparator" w:id="0">
    <w:p w14:paraId="469EB364" w14:textId="77777777" w:rsidR="00770AB2" w:rsidRDefault="00770AB2" w:rsidP="00C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426633"/>
      <w:docPartObj>
        <w:docPartGallery w:val="Page Numbers (Bottom of Page)"/>
        <w:docPartUnique/>
      </w:docPartObj>
    </w:sdtPr>
    <w:sdtContent>
      <w:p w14:paraId="47E4BEA1" w14:textId="77777777" w:rsidR="0075766B" w:rsidRDefault="0075766B">
        <w:pPr>
          <w:pStyle w:val="Footer"/>
        </w:pPr>
        <w:r>
          <w:rPr>
            <w:noProof/>
          </w:rPr>
          <mc:AlternateContent>
            <mc:Choice Requires="wpg">
              <w:drawing>
                <wp:anchor distT="0" distB="0" distL="114300" distR="114300" simplePos="0" relativeHeight="251658752" behindDoc="0" locked="0" layoutInCell="1" allowOverlap="1" wp14:anchorId="7DE9F7FF" wp14:editId="13DBF2BE">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154C" w14:textId="77777777" w:rsidR="0075766B" w:rsidRPr="00CB435D" w:rsidRDefault="0075766B">
                                <w:pPr>
                                  <w:jc w:val="center"/>
                                  <w:rPr>
                                    <w:lang w:val="en-GB"/>
                                  </w:rPr>
                                </w:pPr>
                                <w:r>
                                  <w:fldChar w:fldCharType="begin"/>
                                </w:r>
                                <w:r>
                                  <w:instrText xml:space="preserve"> PAGE    \* MERGEFORMAT </w:instrText>
                                </w:r>
                                <w:r>
                                  <w:fldChar w:fldCharType="separate"/>
                                </w:r>
                                <w:r w:rsidR="00A42421" w:rsidRPr="00A42421">
                                  <w:rPr>
                                    <w:noProof/>
                                    <w:color w:val="8C8C8C" w:themeColor="background1" w:themeShade="8C"/>
                                  </w:rPr>
                                  <w:t>23</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DE9F7FF" id="Group 1" o:spid="_x0000_s1026" style="position:absolute;margin-left:0;margin-top:0;width:610.5pt;height:15pt;z-index:251658752;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NrULgHwDAAB1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77FC154C" w14:textId="77777777" w:rsidR="0075766B" w:rsidRPr="00CB435D" w:rsidRDefault="0075766B">
                          <w:pPr>
                            <w:jc w:val="center"/>
                            <w:rPr>
                              <w:lang w:val="en-GB"/>
                            </w:rPr>
                          </w:pPr>
                          <w:r>
                            <w:fldChar w:fldCharType="begin"/>
                          </w:r>
                          <w:r>
                            <w:instrText xml:space="preserve"> PAGE    \* MERGEFORMAT </w:instrText>
                          </w:r>
                          <w:r>
                            <w:fldChar w:fldCharType="separate"/>
                          </w:r>
                          <w:r w:rsidR="00A42421" w:rsidRPr="00A42421">
                            <w:rPr>
                              <w:noProof/>
                              <w:color w:val="8C8C8C" w:themeColor="background1" w:themeShade="8C"/>
                            </w:rPr>
                            <w:t>23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E032B" w14:textId="77777777" w:rsidR="00770AB2" w:rsidRDefault="00770AB2" w:rsidP="00CB435D">
      <w:pPr>
        <w:spacing w:after="0" w:line="240" w:lineRule="auto"/>
      </w:pPr>
      <w:r>
        <w:separator/>
      </w:r>
    </w:p>
  </w:footnote>
  <w:footnote w:type="continuationSeparator" w:id="0">
    <w:p w14:paraId="5C3077C4" w14:textId="77777777" w:rsidR="00770AB2" w:rsidRDefault="00770AB2" w:rsidP="00CB4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0826DC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6774D0"/>
    <w:multiLevelType w:val="hybridMultilevel"/>
    <w:tmpl w:val="D48212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7014AD"/>
    <w:multiLevelType w:val="multilevel"/>
    <w:tmpl w:val="D62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17E9D"/>
    <w:multiLevelType w:val="hybridMultilevel"/>
    <w:tmpl w:val="0FF6C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01F30"/>
    <w:multiLevelType w:val="hybridMultilevel"/>
    <w:tmpl w:val="C4BCDEE8"/>
    <w:lvl w:ilvl="0" w:tplc="F672FF18">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633652"/>
    <w:multiLevelType w:val="multilevel"/>
    <w:tmpl w:val="3C4EE43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A3FD1"/>
    <w:multiLevelType w:val="multilevel"/>
    <w:tmpl w:val="DF66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E22A9"/>
    <w:multiLevelType w:val="hybridMultilevel"/>
    <w:tmpl w:val="E5DCDCDE"/>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C804221"/>
    <w:multiLevelType w:val="hybridMultilevel"/>
    <w:tmpl w:val="14B48F9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31D76F9"/>
    <w:multiLevelType w:val="hybridMultilevel"/>
    <w:tmpl w:val="2DC8E036"/>
    <w:lvl w:ilvl="0" w:tplc="4C2465BA">
      <w:start w:val="1"/>
      <w:numFmt w:val="low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6140395"/>
    <w:multiLevelType w:val="multilevel"/>
    <w:tmpl w:val="570833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B4020"/>
    <w:multiLevelType w:val="hybridMultilevel"/>
    <w:tmpl w:val="A928EF5E"/>
    <w:lvl w:ilvl="0" w:tplc="415E24BC">
      <w:start w:val="1"/>
      <w:numFmt w:val="lowerLetter"/>
      <w:lvlText w:val="%1."/>
      <w:lvlJc w:val="left"/>
      <w:pPr>
        <w:ind w:left="1080" w:hanging="72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5AB27B9"/>
    <w:multiLevelType w:val="multilevel"/>
    <w:tmpl w:val="280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70221"/>
    <w:multiLevelType w:val="hybridMultilevel"/>
    <w:tmpl w:val="0220DEC4"/>
    <w:lvl w:ilvl="0" w:tplc="9FAE6D6C">
      <w:start w:val="1"/>
      <w:numFmt w:val="lowerLetter"/>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619640D"/>
    <w:multiLevelType w:val="hybridMultilevel"/>
    <w:tmpl w:val="E2D804D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69173BA"/>
    <w:multiLevelType w:val="hybridMultilevel"/>
    <w:tmpl w:val="D482123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4779122">
    <w:abstractNumId w:val="8"/>
  </w:num>
  <w:num w:numId="2" w16cid:durableId="422188744">
    <w:abstractNumId w:val="6"/>
  </w:num>
  <w:num w:numId="3" w16cid:durableId="679431658">
    <w:abstractNumId w:val="5"/>
  </w:num>
  <w:num w:numId="4" w16cid:durableId="1790394528">
    <w:abstractNumId w:val="4"/>
  </w:num>
  <w:num w:numId="5" w16cid:durableId="165705036">
    <w:abstractNumId w:val="7"/>
  </w:num>
  <w:num w:numId="6" w16cid:durableId="190725927">
    <w:abstractNumId w:val="3"/>
  </w:num>
  <w:num w:numId="7" w16cid:durableId="629362652">
    <w:abstractNumId w:val="2"/>
  </w:num>
  <w:num w:numId="8" w16cid:durableId="235020697">
    <w:abstractNumId w:val="1"/>
  </w:num>
  <w:num w:numId="9" w16cid:durableId="1874077949">
    <w:abstractNumId w:val="0"/>
  </w:num>
  <w:num w:numId="10" w16cid:durableId="2119988237">
    <w:abstractNumId w:val="18"/>
  </w:num>
  <w:num w:numId="11" w16cid:durableId="1879120418">
    <w:abstractNumId w:val="14"/>
  </w:num>
  <w:num w:numId="12" w16cid:durableId="1454523739">
    <w:abstractNumId w:val="20"/>
  </w:num>
  <w:num w:numId="13" w16cid:durableId="1645352469">
    <w:abstractNumId w:val="13"/>
  </w:num>
  <w:num w:numId="14" w16cid:durableId="131218820">
    <w:abstractNumId w:val="11"/>
  </w:num>
  <w:num w:numId="15" w16cid:durableId="1605960640">
    <w:abstractNumId w:val="10"/>
  </w:num>
  <w:num w:numId="16" w16cid:durableId="1315599453">
    <w:abstractNumId w:val="15"/>
  </w:num>
  <w:num w:numId="17" w16cid:durableId="1921982588">
    <w:abstractNumId w:val="22"/>
  </w:num>
  <w:num w:numId="18" w16cid:durableId="682323354">
    <w:abstractNumId w:val="16"/>
  </w:num>
  <w:num w:numId="19" w16cid:durableId="859702055">
    <w:abstractNumId w:val="17"/>
  </w:num>
  <w:num w:numId="20" w16cid:durableId="296106290">
    <w:abstractNumId w:val="23"/>
  </w:num>
  <w:num w:numId="21" w16cid:durableId="571045179">
    <w:abstractNumId w:val="9"/>
  </w:num>
  <w:num w:numId="22" w16cid:durableId="499201737">
    <w:abstractNumId w:val="12"/>
  </w:num>
  <w:num w:numId="23" w16cid:durableId="568540764">
    <w:abstractNumId w:val="19"/>
  </w:num>
  <w:num w:numId="24" w16cid:durableId="3756669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067"/>
    <w:rsid w:val="00034616"/>
    <w:rsid w:val="00044479"/>
    <w:rsid w:val="0006063C"/>
    <w:rsid w:val="000657D1"/>
    <w:rsid w:val="00066304"/>
    <w:rsid w:val="00097B6C"/>
    <w:rsid w:val="000A0880"/>
    <w:rsid w:val="000A3860"/>
    <w:rsid w:val="000E43B0"/>
    <w:rsid w:val="000E7707"/>
    <w:rsid w:val="001109CF"/>
    <w:rsid w:val="0015074B"/>
    <w:rsid w:val="001E0B45"/>
    <w:rsid w:val="0029639D"/>
    <w:rsid w:val="00326F90"/>
    <w:rsid w:val="003842AE"/>
    <w:rsid w:val="00463F38"/>
    <w:rsid w:val="004C07F5"/>
    <w:rsid w:val="004D09B4"/>
    <w:rsid w:val="00562FA2"/>
    <w:rsid w:val="00577C6E"/>
    <w:rsid w:val="005C4B3F"/>
    <w:rsid w:val="00625FD7"/>
    <w:rsid w:val="00653EAF"/>
    <w:rsid w:val="0065595D"/>
    <w:rsid w:val="00686543"/>
    <w:rsid w:val="006E35F3"/>
    <w:rsid w:val="006F68FC"/>
    <w:rsid w:val="0075178B"/>
    <w:rsid w:val="0075766B"/>
    <w:rsid w:val="00770AB2"/>
    <w:rsid w:val="00782456"/>
    <w:rsid w:val="0079784B"/>
    <w:rsid w:val="007B08CE"/>
    <w:rsid w:val="007B5272"/>
    <w:rsid w:val="007C4C39"/>
    <w:rsid w:val="00813670"/>
    <w:rsid w:val="00816B5D"/>
    <w:rsid w:val="008351A7"/>
    <w:rsid w:val="00892B31"/>
    <w:rsid w:val="00910C64"/>
    <w:rsid w:val="00921B01"/>
    <w:rsid w:val="0099205B"/>
    <w:rsid w:val="009A1E01"/>
    <w:rsid w:val="009F5666"/>
    <w:rsid w:val="00A02C63"/>
    <w:rsid w:val="00A4191B"/>
    <w:rsid w:val="00A41F59"/>
    <w:rsid w:val="00A42421"/>
    <w:rsid w:val="00A93C26"/>
    <w:rsid w:val="00AA1D8D"/>
    <w:rsid w:val="00AA2148"/>
    <w:rsid w:val="00AD71E4"/>
    <w:rsid w:val="00AF0AF5"/>
    <w:rsid w:val="00B16C0E"/>
    <w:rsid w:val="00B2417D"/>
    <w:rsid w:val="00B47730"/>
    <w:rsid w:val="00B742CC"/>
    <w:rsid w:val="00B771E4"/>
    <w:rsid w:val="00B9465F"/>
    <w:rsid w:val="00B95255"/>
    <w:rsid w:val="00BA644F"/>
    <w:rsid w:val="00BA7416"/>
    <w:rsid w:val="00BC1D12"/>
    <w:rsid w:val="00BC24A4"/>
    <w:rsid w:val="00BF31A3"/>
    <w:rsid w:val="00C260BE"/>
    <w:rsid w:val="00C9286A"/>
    <w:rsid w:val="00CB0664"/>
    <w:rsid w:val="00CB435D"/>
    <w:rsid w:val="00CB44DC"/>
    <w:rsid w:val="00CF1EA5"/>
    <w:rsid w:val="00CF25C3"/>
    <w:rsid w:val="00D664E9"/>
    <w:rsid w:val="00E66E09"/>
    <w:rsid w:val="00ED47BD"/>
    <w:rsid w:val="00F04102"/>
    <w:rsid w:val="00F04160"/>
    <w:rsid w:val="00F37A77"/>
    <w:rsid w:val="00F446D8"/>
    <w:rsid w:val="00F91807"/>
    <w:rsid w:val="00FC693F"/>
    <w:rsid w:val="00FF68D3"/>
    <w:rsid w:val="00FF6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AF8B14"/>
  <w14:defaultImageDpi w14:val="300"/>
  <w15:docId w15:val="{0F0726BD-AA9C-4449-9757-F6A2DB9A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E0B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61170">
      <w:bodyDiv w:val="1"/>
      <w:marLeft w:val="0"/>
      <w:marRight w:val="0"/>
      <w:marTop w:val="0"/>
      <w:marBottom w:val="0"/>
      <w:divBdr>
        <w:top w:val="none" w:sz="0" w:space="0" w:color="auto"/>
        <w:left w:val="none" w:sz="0" w:space="0" w:color="auto"/>
        <w:bottom w:val="none" w:sz="0" w:space="0" w:color="auto"/>
        <w:right w:val="none" w:sz="0" w:space="0" w:color="auto"/>
      </w:divBdr>
    </w:div>
    <w:div w:id="593133064">
      <w:bodyDiv w:val="1"/>
      <w:marLeft w:val="0"/>
      <w:marRight w:val="0"/>
      <w:marTop w:val="0"/>
      <w:marBottom w:val="0"/>
      <w:divBdr>
        <w:top w:val="none" w:sz="0" w:space="0" w:color="auto"/>
        <w:left w:val="none" w:sz="0" w:space="0" w:color="auto"/>
        <w:bottom w:val="none" w:sz="0" w:space="0" w:color="auto"/>
        <w:right w:val="none" w:sz="0" w:space="0" w:color="auto"/>
      </w:divBdr>
    </w:div>
    <w:div w:id="632950045">
      <w:bodyDiv w:val="1"/>
      <w:marLeft w:val="0"/>
      <w:marRight w:val="0"/>
      <w:marTop w:val="0"/>
      <w:marBottom w:val="0"/>
      <w:divBdr>
        <w:top w:val="none" w:sz="0" w:space="0" w:color="auto"/>
        <w:left w:val="none" w:sz="0" w:space="0" w:color="auto"/>
        <w:bottom w:val="none" w:sz="0" w:space="0" w:color="auto"/>
        <w:right w:val="none" w:sz="0" w:space="0" w:color="auto"/>
      </w:divBdr>
    </w:div>
    <w:div w:id="889345668">
      <w:bodyDiv w:val="1"/>
      <w:marLeft w:val="0"/>
      <w:marRight w:val="0"/>
      <w:marTop w:val="0"/>
      <w:marBottom w:val="0"/>
      <w:divBdr>
        <w:top w:val="none" w:sz="0" w:space="0" w:color="auto"/>
        <w:left w:val="none" w:sz="0" w:space="0" w:color="auto"/>
        <w:bottom w:val="none" w:sz="0" w:space="0" w:color="auto"/>
        <w:right w:val="none" w:sz="0" w:space="0" w:color="auto"/>
      </w:divBdr>
    </w:div>
    <w:div w:id="960577387">
      <w:bodyDiv w:val="1"/>
      <w:marLeft w:val="0"/>
      <w:marRight w:val="0"/>
      <w:marTop w:val="0"/>
      <w:marBottom w:val="0"/>
      <w:divBdr>
        <w:top w:val="none" w:sz="0" w:space="0" w:color="auto"/>
        <w:left w:val="none" w:sz="0" w:space="0" w:color="auto"/>
        <w:bottom w:val="none" w:sz="0" w:space="0" w:color="auto"/>
        <w:right w:val="none" w:sz="0" w:space="0" w:color="auto"/>
      </w:divBdr>
    </w:div>
    <w:div w:id="1238125762">
      <w:bodyDiv w:val="1"/>
      <w:marLeft w:val="0"/>
      <w:marRight w:val="0"/>
      <w:marTop w:val="0"/>
      <w:marBottom w:val="0"/>
      <w:divBdr>
        <w:top w:val="none" w:sz="0" w:space="0" w:color="auto"/>
        <w:left w:val="none" w:sz="0" w:space="0" w:color="auto"/>
        <w:bottom w:val="none" w:sz="0" w:space="0" w:color="auto"/>
        <w:right w:val="none" w:sz="0" w:space="0" w:color="auto"/>
      </w:divBdr>
    </w:div>
    <w:div w:id="1238202060">
      <w:bodyDiv w:val="1"/>
      <w:marLeft w:val="0"/>
      <w:marRight w:val="0"/>
      <w:marTop w:val="0"/>
      <w:marBottom w:val="0"/>
      <w:divBdr>
        <w:top w:val="none" w:sz="0" w:space="0" w:color="auto"/>
        <w:left w:val="none" w:sz="0" w:space="0" w:color="auto"/>
        <w:bottom w:val="none" w:sz="0" w:space="0" w:color="auto"/>
        <w:right w:val="none" w:sz="0" w:space="0" w:color="auto"/>
      </w:divBdr>
    </w:div>
    <w:div w:id="1665205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5893-3A42-4444-B832-3889357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3091</Words>
  <Characters>17619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Fiji Commerce and Employers Federation</vt:lpstr>
    </vt:vector>
  </TitlesOfParts>
  <Manager/>
  <Company/>
  <LinksUpToDate>false</LinksUpToDate>
  <CharactersWithSpaces>20669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Fiji Commerce and Employers Federation</dc:title>
  <dc:subject/>
  <dc:creator>python-docx</dc:creator>
  <cp:keywords/>
  <dc:description>generated by python-docx</dc:description>
  <cp:lastModifiedBy>comms</cp:lastModifiedBy>
  <cp:revision>2</cp:revision>
  <cp:lastPrinted>2026-01-12T23:51:00Z</cp:lastPrinted>
  <dcterms:created xsi:type="dcterms:W3CDTF">2026-01-13T00:33:00Z</dcterms:created>
  <dcterms:modified xsi:type="dcterms:W3CDTF">2026-01-13T00:33:00Z</dcterms:modified>
  <cp:category/>
</cp:coreProperties>
</file>